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06B23" w14:textId="77777777" w:rsidR="00FA7030" w:rsidRDefault="00FA7030" w:rsidP="00C54E8A">
      <w:pPr>
        <w:tabs>
          <w:tab w:val="left" w:pos="288"/>
        </w:tabs>
        <w:jc w:val="both"/>
        <w:rPr>
          <w:b/>
          <w:bCs/>
          <w:color w:val="222222"/>
          <w:sz w:val="24"/>
          <w:szCs w:val="24"/>
          <w:shd w:val="clear" w:color="auto" w:fill="FFFFFF"/>
          <w:lang w:val="en-CA"/>
        </w:rPr>
      </w:pPr>
    </w:p>
    <w:p w14:paraId="6B0B13E0" w14:textId="5DBD32CB" w:rsidR="009417F8" w:rsidRDefault="00293426" w:rsidP="009417F8">
      <w:pPr>
        <w:pStyle w:val="NormalWeb"/>
      </w:pPr>
      <w:r w:rsidRPr="00293426">
        <w:rPr>
          <w:noProof/>
        </w:rPr>
        <w:drawing>
          <wp:inline distT="0" distB="0" distL="0" distR="0" wp14:anchorId="3E527475" wp14:editId="488B71EC">
            <wp:extent cx="6404610" cy="5866765"/>
            <wp:effectExtent l="0" t="0" r="0" b="635"/>
            <wp:docPr id="1948137554" name="Picture 1" descr="Niagra Falls Ontario Canada. Top of the Canadian Falls showing the water going over the edge. Photo, article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137554" name="Picture 1" descr="Niagra Falls Ontario Canada. Top of the Canadian Falls showing the water going over the edge. Photo, article cover."/>
                    <pic:cNvPicPr/>
                  </pic:nvPicPr>
                  <pic:blipFill>
                    <a:blip r:embed="rId11"/>
                    <a:stretch>
                      <a:fillRect/>
                    </a:stretch>
                  </pic:blipFill>
                  <pic:spPr>
                    <a:xfrm>
                      <a:off x="0" y="0"/>
                      <a:ext cx="6404610" cy="5866765"/>
                    </a:xfrm>
                    <a:prstGeom prst="rect">
                      <a:avLst/>
                    </a:prstGeom>
                  </pic:spPr>
                </pic:pic>
              </a:graphicData>
            </a:graphic>
          </wp:inline>
        </w:drawing>
      </w:r>
    </w:p>
    <w:p w14:paraId="23066360" w14:textId="77777777" w:rsidR="009417F8" w:rsidRDefault="009417F8" w:rsidP="009417F8"/>
    <w:p w14:paraId="6392606E" w14:textId="77777777" w:rsidR="00293426" w:rsidRDefault="00293426" w:rsidP="009417F8"/>
    <w:p w14:paraId="0EE3A62C" w14:textId="77777777" w:rsidR="00293426" w:rsidRDefault="00293426" w:rsidP="009417F8"/>
    <w:p w14:paraId="6DF39E6A" w14:textId="77777777" w:rsidR="00293426" w:rsidRDefault="00293426" w:rsidP="009417F8"/>
    <w:p w14:paraId="471F1C09" w14:textId="77777777" w:rsidR="009417F8" w:rsidRDefault="009417F8" w:rsidP="00C54E8A">
      <w:pPr>
        <w:tabs>
          <w:tab w:val="left" w:pos="288"/>
        </w:tabs>
        <w:jc w:val="both"/>
        <w:rPr>
          <w:b/>
          <w:bCs/>
          <w:color w:val="222222"/>
          <w:sz w:val="24"/>
          <w:szCs w:val="24"/>
          <w:shd w:val="clear" w:color="auto" w:fill="FFFFFF"/>
          <w:lang w:val="en-CA"/>
        </w:rPr>
      </w:pPr>
    </w:p>
    <w:p w14:paraId="0F836E06" w14:textId="77777777" w:rsidR="009417F8" w:rsidRDefault="009417F8" w:rsidP="00C54E8A">
      <w:pPr>
        <w:tabs>
          <w:tab w:val="left" w:pos="288"/>
        </w:tabs>
        <w:jc w:val="both"/>
        <w:rPr>
          <w:b/>
          <w:bCs/>
          <w:color w:val="222222"/>
          <w:sz w:val="24"/>
          <w:szCs w:val="24"/>
          <w:shd w:val="clear" w:color="auto" w:fill="FFFFFF"/>
          <w:lang w:val="en-CA"/>
        </w:rPr>
      </w:pPr>
    </w:p>
    <w:p w14:paraId="40208D1C" w14:textId="77777777" w:rsidR="001F7D48" w:rsidRDefault="00256D90" w:rsidP="00F34050">
      <w:pPr>
        <w:pStyle w:val="Title"/>
      </w:pPr>
      <w:r w:rsidRPr="00256D90">
        <w:lastRenderedPageBreak/>
        <w:t xml:space="preserve">Swimming Up </w:t>
      </w:r>
      <w:r w:rsidRPr="00F34050">
        <w:t>Niagara</w:t>
      </w:r>
      <w:r w:rsidRPr="00256D90">
        <w:t xml:space="preserve"> Falls! </w:t>
      </w:r>
    </w:p>
    <w:p w14:paraId="3BD2361A" w14:textId="77777777" w:rsidR="00256D90" w:rsidRPr="00256D90" w:rsidRDefault="00256D90" w:rsidP="00256D90">
      <w:pPr>
        <w:tabs>
          <w:tab w:val="left" w:pos="288"/>
        </w:tabs>
        <w:jc w:val="both"/>
        <w:rPr>
          <w:b/>
          <w:bCs/>
          <w:color w:val="222222"/>
          <w:sz w:val="24"/>
          <w:szCs w:val="24"/>
          <w:shd w:val="clear" w:color="auto" w:fill="FFFFFF"/>
        </w:rPr>
      </w:pPr>
      <w:r w:rsidRPr="00256D90">
        <w:rPr>
          <w:b/>
          <w:bCs/>
          <w:color w:val="222222"/>
          <w:sz w:val="24"/>
          <w:szCs w:val="24"/>
          <w:shd w:val="clear" w:color="auto" w:fill="FFFFFF"/>
        </w:rPr>
        <w:t>The Battle to Get Disability Rights Added to the Canadian Charter of Rights and Freedoms</w:t>
      </w:r>
    </w:p>
    <w:p w14:paraId="0A724F80" w14:textId="77777777" w:rsidR="00256D90" w:rsidRPr="00256D90" w:rsidRDefault="00256D90" w:rsidP="00256D90">
      <w:pPr>
        <w:tabs>
          <w:tab w:val="left" w:pos="288"/>
        </w:tabs>
        <w:jc w:val="both"/>
        <w:rPr>
          <w:b/>
          <w:bCs/>
          <w:color w:val="222222"/>
          <w:sz w:val="24"/>
          <w:szCs w:val="24"/>
          <w:shd w:val="clear" w:color="auto" w:fill="FFFFFF"/>
        </w:rPr>
      </w:pPr>
    </w:p>
    <w:p w14:paraId="5E60A2FC" w14:textId="77777777" w:rsidR="00256D90" w:rsidRPr="00256D90" w:rsidRDefault="00256D90" w:rsidP="00C54E8A">
      <w:pPr>
        <w:tabs>
          <w:tab w:val="left" w:pos="288"/>
        </w:tabs>
        <w:jc w:val="both"/>
        <w:rPr>
          <w:b/>
          <w:bCs/>
          <w:color w:val="222222"/>
          <w:sz w:val="24"/>
          <w:szCs w:val="24"/>
          <w:shd w:val="clear" w:color="auto" w:fill="FFFFFF"/>
        </w:rPr>
      </w:pPr>
      <w:r w:rsidRPr="00256D90">
        <w:rPr>
          <w:b/>
          <w:bCs/>
          <w:color w:val="222222"/>
          <w:sz w:val="24"/>
          <w:szCs w:val="24"/>
          <w:shd w:val="clear" w:color="auto" w:fill="FFFFFF"/>
        </w:rPr>
        <w:t>M. David Lepofsky</w:t>
      </w:r>
    </w:p>
    <w:p w14:paraId="3C59944F" w14:textId="77777777" w:rsidR="00256D90" w:rsidRDefault="00256D90" w:rsidP="00C54E8A">
      <w:pPr>
        <w:tabs>
          <w:tab w:val="left" w:pos="288"/>
        </w:tabs>
        <w:jc w:val="both"/>
        <w:rPr>
          <w:b/>
          <w:bCs/>
          <w:i/>
          <w:iCs/>
          <w:color w:val="222222"/>
          <w:sz w:val="24"/>
          <w:szCs w:val="24"/>
          <w:shd w:val="clear" w:color="auto" w:fill="FFFFFF"/>
          <w:lang w:val="en-CA"/>
        </w:rPr>
      </w:pPr>
    </w:p>
    <w:p w14:paraId="539B70B7" w14:textId="77777777" w:rsidR="00B67F7A" w:rsidRPr="00615692" w:rsidRDefault="00B67F7A" w:rsidP="00C54E8A">
      <w:pPr>
        <w:tabs>
          <w:tab w:val="left" w:pos="288"/>
        </w:tabs>
        <w:jc w:val="both"/>
        <w:rPr>
          <w:b/>
          <w:bCs/>
          <w:i/>
          <w:iCs/>
          <w:color w:val="222222"/>
          <w:sz w:val="24"/>
          <w:szCs w:val="24"/>
          <w:shd w:val="clear" w:color="auto" w:fill="FFFFFF"/>
          <w:lang w:val="en-CA"/>
        </w:rPr>
      </w:pPr>
      <w:r w:rsidRPr="00615692">
        <w:rPr>
          <w:b/>
          <w:bCs/>
          <w:i/>
          <w:iCs/>
          <w:color w:val="222222"/>
          <w:sz w:val="24"/>
          <w:szCs w:val="24"/>
          <w:shd w:val="clear" w:color="auto" w:fill="FFFFFF"/>
          <w:lang w:val="en-CA"/>
        </w:rPr>
        <w:t>Foreword</w:t>
      </w:r>
    </w:p>
    <w:p w14:paraId="0D400A67"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 xml:space="preserve"> </w:t>
      </w:r>
    </w:p>
    <w:p w14:paraId="6CDBD6CD"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This generation will be remembered as the generation that watched rights graduate from legal adolescence into constitutional maturity. One by one, we came increasingly to recognize the discriminatory social, economic, and political impact people experienced based on race, gender, colour, religion, age, or national and ethnic origin. What we had not yet fully appreciated was that people with disabilities were no less entitled to protection and redress for the inhibiting barriers that their disabilities confronted.</w:t>
      </w:r>
    </w:p>
    <w:p w14:paraId="48CC57F4" w14:textId="77777777" w:rsidR="00B67F7A" w:rsidRPr="00B67F7A" w:rsidRDefault="00F34C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Along came David Lepofsky, a scrappy and brilliant blind law student who could not understand – and refused to accept – why protection for equality in section 15 of the newly proposed </w:t>
      </w:r>
      <w:r w:rsidR="00B67F7A" w:rsidRPr="00B67F7A">
        <w:rPr>
          <w:i/>
          <w:iCs/>
          <w:color w:val="222222"/>
          <w:sz w:val="24"/>
          <w:szCs w:val="24"/>
          <w:shd w:val="clear" w:color="auto" w:fill="FFFFFF"/>
          <w:lang w:val="en-CA"/>
        </w:rPr>
        <w:t>Canadian Charter of Rights and Freedoms</w:t>
      </w:r>
      <w:r w:rsidR="00B67F7A" w:rsidRPr="00B67F7A">
        <w:rPr>
          <w:color w:val="222222"/>
          <w:sz w:val="24"/>
          <w:szCs w:val="24"/>
          <w:shd w:val="clear" w:color="auto" w:fill="FFFFFF"/>
          <w:lang w:val="en-CA"/>
        </w:rPr>
        <w:t xml:space="preserve"> excluded people with disabilities. He researched, he cajoled, he advocated, and he, as well as other important disability rights advocates, did not stop until they persuaded. The rest is history. </w:t>
      </w:r>
    </w:p>
    <w:p w14:paraId="6257119E"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 xml:space="preserve">This book is the story of his personal and professional awakening and how he used the realities of his own life and experiences to figure out how to spread hope, optimism, resilience, and courage among those who had been ignored in the wake of better understood social inequalities. And after he and the other great disability advocates together got recognition in section 15 that it was unconstitutional to discriminate </w:t>
      </w:r>
      <w:proofErr w:type="gramStart"/>
      <w:r w:rsidRPr="00B67F7A">
        <w:rPr>
          <w:color w:val="222222"/>
          <w:sz w:val="24"/>
          <w:szCs w:val="24"/>
          <w:shd w:val="clear" w:color="auto" w:fill="FFFFFF"/>
          <w:lang w:val="en-CA"/>
        </w:rPr>
        <w:t>on the basis of</w:t>
      </w:r>
      <w:proofErr w:type="gramEnd"/>
      <w:r w:rsidRPr="00B67F7A">
        <w:rPr>
          <w:color w:val="222222"/>
          <w:sz w:val="24"/>
          <w:szCs w:val="24"/>
          <w:shd w:val="clear" w:color="auto" w:fill="FFFFFF"/>
          <w:lang w:val="en-CA"/>
        </w:rPr>
        <w:t xml:space="preserve"> disability, he has spent the rest of his life dedicated to making sure that the rest of us understand the multiple impacts that disability and discrimination have on ongoing relationships.</w:t>
      </w:r>
    </w:p>
    <w:p w14:paraId="414BBC68" w14:textId="77777777" w:rsidR="00B67F7A" w:rsidRPr="00B67F7A" w:rsidRDefault="009F4ED2"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All this is explained in classic Lepofsky style – wry, funny, pungent, poignant, fearless, modest, generous, and proudly different. Ultimately, the story that emerges is the story of a hero and his heroic passion for justice. It was an honour to watch and cheer from a front row seat as </w:t>
      </w:r>
      <w:proofErr w:type="gramStart"/>
      <w:r w:rsidR="00B67F7A" w:rsidRPr="00B67F7A">
        <w:rPr>
          <w:color w:val="222222"/>
          <w:sz w:val="24"/>
          <w:szCs w:val="24"/>
          <w:shd w:val="clear" w:color="auto" w:fill="FFFFFF"/>
          <w:lang w:val="en-CA"/>
        </w:rPr>
        <w:t>all of</w:t>
      </w:r>
      <w:proofErr w:type="gramEnd"/>
      <w:r w:rsidR="00B67F7A" w:rsidRPr="00B67F7A">
        <w:rPr>
          <w:color w:val="222222"/>
          <w:sz w:val="24"/>
          <w:szCs w:val="24"/>
          <w:shd w:val="clear" w:color="auto" w:fill="FFFFFF"/>
          <w:lang w:val="en-CA"/>
        </w:rPr>
        <w:t xml:space="preserve"> this unfolded. And it is an even greater honour to be his friend.</w:t>
      </w:r>
    </w:p>
    <w:p w14:paraId="1187ABBD" w14:textId="77777777" w:rsidR="00B67F7A" w:rsidRPr="00B67F7A" w:rsidRDefault="00B67F7A" w:rsidP="00C54E8A">
      <w:pPr>
        <w:tabs>
          <w:tab w:val="left" w:pos="288"/>
        </w:tabs>
        <w:jc w:val="both"/>
        <w:rPr>
          <w:color w:val="222222"/>
          <w:sz w:val="24"/>
          <w:szCs w:val="24"/>
          <w:shd w:val="clear" w:color="auto" w:fill="FFFFFF"/>
          <w:lang w:val="en-CA"/>
        </w:rPr>
      </w:pPr>
    </w:p>
    <w:p w14:paraId="1CD42FDA" w14:textId="77777777" w:rsidR="00B67F7A" w:rsidRPr="00B67F7A" w:rsidRDefault="00B67F7A" w:rsidP="00F34C69">
      <w:pPr>
        <w:tabs>
          <w:tab w:val="left" w:pos="288"/>
        </w:tabs>
        <w:jc w:val="right"/>
        <w:rPr>
          <w:color w:val="222222"/>
          <w:sz w:val="24"/>
          <w:szCs w:val="24"/>
          <w:shd w:val="clear" w:color="auto" w:fill="FFFFFF"/>
          <w:lang w:val="en-CA"/>
        </w:rPr>
      </w:pPr>
      <w:r w:rsidRPr="00B67F7A">
        <w:rPr>
          <w:color w:val="222222"/>
          <w:sz w:val="24"/>
          <w:szCs w:val="24"/>
          <w:shd w:val="clear" w:color="auto" w:fill="FFFFFF"/>
          <w:lang w:val="en-CA"/>
        </w:rPr>
        <w:t xml:space="preserve"> Rosalie Silberman Abella</w:t>
      </w:r>
    </w:p>
    <w:p w14:paraId="133C8EE5" w14:textId="77777777" w:rsidR="00B67F7A" w:rsidRPr="00B67F7A" w:rsidRDefault="00B67F7A" w:rsidP="00F34C69">
      <w:pPr>
        <w:tabs>
          <w:tab w:val="left" w:pos="288"/>
        </w:tabs>
        <w:jc w:val="right"/>
        <w:rPr>
          <w:color w:val="222222"/>
          <w:sz w:val="24"/>
          <w:szCs w:val="24"/>
          <w:shd w:val="clear" w:color="auto" w:fill="FFFFFF"/>
          <w:lang w:val="en-CA"/>
        </w:rPr>
      </w:pPr>
      <w:r w:rsidRPr="00B67F7A">
        <w:rPr>
          <w:color w:val="222222"/>
          <w:sz w:val="24"/>
          <w:szCs w:val="24"/>
          <w:shd w:val="clear" w:color="auto" w:fill="FFFFFF"/>
          <w:lang w:val="en-CA"/>
        </w:rPr>
        <w:t>April 2023</w:t>
      </w:r>
    </w:p>
    <w:p w14:paraId="1542B2B9" w14:textId="77777777" w:rsidR="00615692" w:rsidRDefault="00615692" w:rsidP="000D7635">
      <w:pPr>
        <w:tabs>
          <w:tab w:val="left" w:pos="288"/>
        </w:tabs>
        <w:jc w:val="both"/>
        <w:rPr>
          <w:b/>
          <w:bCs/>
          <w:i/>
          <w:iCs/>
          <w:color w:val="222222"/>
          <w:sz w:val="24"/>
          <w:szCs w:val="24"/>
          <w:shd w:val="clear" w:color="auto" w:fill="FFFFFF"/>
          <w:lang w:val="en-CA"/>
        </w:rPr>
      </w:pPr>
      <w:bookmarkStart w:id="0" w:name="_Toc132577118"/>
    </w:p>
    <w:p w14:paraId="3ACF1A48" w14:textId="77777777" w:rsidR="00B67F7A" w:rsidRPr="00B67F7A" w:rsidRDefault="00B67F7A" w:rsidP="000D7635">
      <w:pPr>
        <w:tabs>
          <w:tab w:val="left" w:pos="288"/>
        </w:tabs>
        <w:jc w:val="both"/>
        <w:rPr>
          <w:b/>
          <w:bCs/>
          <w:i/>
          <w:iCs/>
          <w:color w:val="222222"/>
          <w:sz w:val="24"/>
          <w:szCs w:val="24"/>
          <w:shd w:val="clear" w:color="auto" w:fill="FFFFFF"/>
          <w:lang w:val="en-CA"/>
        </w:rPr>
      </w:pPr>
      <w:r w:rsidRPr="00B67F7A">
        <w:rPr>
          <w:b/>
          <w:bCs/>
          <w:i/>
          <w:iCs/>
          <w:color w:val="222222"/>
          <w:sz w:val="24"/>
          <w:szCs w:val="24"/>
          <w:shd w:val="clear" w:color="auto" w:fill="FFFFFF"/>
          <w:lang w:val="en-CA"/>
        </w:rPr>
        <w:t>Acknowledgements</w:t>
      </w:r>
      <w:bookmarkEnd w:id="0"/>
      <w:r w:rsidRPr="00B67F7A">
        <w:rPr>
          <w:b/>
          <w:bCs/>
          <w:i/>
          <w:iCs/>
          <w:color w:val="222222"/>
          <w:sz w:val="24"/>
          <w:szCs w:val="24"/>
          <w:shd w:val="clear" w:color="auto" w:fill="FFFFFF"/>
          <w:lang w:val="en-CA"/>
        </w:rPr>
        <w:t xml:space="preserve"> and Dedication</w:t>
      </w:r>
    </w:p>
    <w:p w14:paraId="3630030A" w14:textId="77777777" w:rsidR="00B67F7A" w:rsidRPr="00B67F7A" w:rsidRDefault="00B67F7A" w:rsidP="00C54E8A">
      <w:pPr>
        <w:tabs>
          <w:tab w:val="left" w:pos="288"/>
        </w:tabs>
        <w:jc w:val="both"/>
        <w:rPr>
          <w:color w:val="222222"/>
          <w:sz w:val="24"/>
          <w:szCs w:val="24"/>
          <w:shd w:val="clear" w:color="auto" w:fill="FFFFFF"/>
          <w:lang w:val="en-CA"/>
        </w:rPr>
      </w:pPr>
    </w:p>
    <w:p w14:paraId="6AF16A07" w14:textId="77777777" w:rsidR="00B67F7A" w:rsidRPr="00B67F7A" w:rsidRDefault="007C3CF8" w:rsidP="00C54E8A">
      <w:pPr>
        <w:tabs>
          <w:tab w:val="left" w:pos="288"/>
        </w:tabs>
        <w:jc w:val="both"/>
        <w:rPr>
          <w:color w:val="222222"/>
          <w:sz w:val="24"/>
          <w:szCs w:val="24"/>
          <w:shd w:val="clear" w:color="auto" w:fill="FFFFFF"/>
          <w:lang w:val="en-CA"/>
        </w:rPr>
      </w:pPr>
      <w:bookmarkStart w:id="1" w:name="_Hlk132552951"/>
      <w:r>
        <w:rPr>
          <w:color w:val="222222"/>
          <w:sz w:val="24"/>
          <w:szCs w:val="24"/>
          <w:shd w:val="clear" w:color="auto" w:fill="FFFFFF"/>
          <w:lang w:val="en-CA"/>
        </w:rPr>
        <w:tab/>
      </w:r>
      <w:r w:rsidR="00B67F7A" w:rsidRPr="00B67F7A">
        <w:rPr>
          <w:color w:val="222222"/>
          <w:sz w:val="24"/>
          <w:szCs w:val="24"/>
          <w:shd w:val="clear" w:color="auto" w:fill="FFFFFF"/>
          <w:lang w:val="en-CA"/>
        </w:rPr>
        <w:t xml:space="preserve">I acknowledge with incredible gratitude my friends who encouraged me for so long to write this account. Thank you for persisting, despite my reluctance. I thank my friends who generously provided wise feedback on drafts and who helped me excavate and review key records of these events from my garage. I am especially indebted to my superb, dedicated, unflappable, thorough, patient, and dependable research assistant, Shirelle Cogan, then a student at the Osgoode Hall Law School, who devoted an incredible number of hours to help make this project come to fruition. </w:t>
      </w:r>
    </w:p>
    <w:p w14:paraId="4A7D6EC0" w14:textId="77777777" w:rsidR="00B67F7A" w:rsidRPr="00B67F7A" w:rsidRDefault="009F4ED2"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 am deeply grateful to the Canadian National Institute for the Blind for entrusting me with the opportunity to speak for them in 1980 and 1981 on the need for the disability amendment. </w:t>
      </w:r>
    </w:p>
    <w:p w14:paraId="490E9E48"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lastRenderedPageBreak/>
        <w:t xml:space="preserve">Finally, I cannot put into words how lucky I am to have the magnificent Dr. Jill Bee Rich as my wife. She provided entirely candid and unflinching feedback on the final draft, which led to desperately needed and much appreciated improvements. </w:t>
      </w:r>
    </w:p>
    <w:p w14:paraId="50DB0486" w14:textId="77777777" w:rsidR="00B67F7A" w:rsidRPr="00B67F7A" w:rsidRDefault="009F4ED2"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bear the sole responsibility for any deficiencies in this text.</w:t>
      </w:r>
    </w:p>
    <w:p w14:paraId="7D4976BF" w14:textId="77777777" w:rsidR="00B67F7A" w:rsidRDefault="009F4ED2"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dedicate this retrospective to the memory of my beloved mother Joan Lepofsky, who, by her incredible example, taught me the meaning and importance of “tenacity.”</w:t>
      </w:r>
    </w:p>
    <w:p w14:paraId="065D7713" w14:textId="77777777" w:rsidR="00411D82" w:rsidRDefault="00411D82" w:rsidP="009B12D6">
      <w:pPr>
        <w:tabs>
          <w:tab w:val="left" w:pos="288"/>
        </w:tabs>
        <w:jc w:val="both"/>
        <w:rPr>
          <w:b/>
          <w:bCs/>
          <w:color w:val="222222"/>
          <w:sz w:val="24"/>
          <w:szCs w:val="24"/>
          <w:shd w:val="clear" w:color="auto" w:fill="FFFFFF"/>
          <w:lang w:val="en-CA"/>
        </w:rPr>
      </w:pPr>
      <w:bookmarkStart w:id="2" w:name="_Toc132576962"/>
      <w:bookmarkEnd w:id="1"/>
    </w:p>
    <w:p w14:paraId="4AADC6C7" w14:textId="77777777" w:rsidR="00411D82" w:rsidRDefault="00411D82" w:rsidP="00295AB5">
      <w:pPr>
        <w:tabs>
          <w:tab w:val="left" w:pos="288"/>
        </w:tabs>
        <w:ind w:left="720" w:right="720"/>
        <w:jc w:val="both"/>
        <w:rPr>
          <w:i/>
          <w:iCs/>
          <w:color w:val="222222"/>
          <w:sz w:val="24"/>
          <w:szCs w:val="24"/>
          <w:shd w:val="clear" w:color="auto" w:fill="FFFFFF"/>
          <w:lang w:val="en-CA"/>
        </w:rPr>
      </w:pPr>
      <w:r w:rsidRPr="00411D82">
        <w:rPr>
          <w:i/>
          <w:iCs/>
          <w:color w:val="222222"/>
          <w:sz w:val="24"/>
          <w:szCs w:val="24"/>
          <w:shd w:val="clear" w:color="auto" w:fill="FFFFFF"/>
          <w:lang w:val="en-CA"/>
        </w:rPr>
        <w:t xml:space="preserve">This is the personal memoir of blind lawyer and volunteer disability rights advocate David Lepofsky. It describes his involvement in and perspectives on the successful fight from 1980 to 1982 to get Canada’s proposed </w:t>
      </w:r>
      <w:r w:rsidRPr="00411D82">
        <w:rPr>
          <w:color w:val="222222"/>
          <w:sz w:val="24"/>
          <w:szCs w:val="24"/>
          <w:shd w:val="clear" w:color="auto" w:fill="FFFFFF"/>
          <w:lang w:val="en-CA"/>
        </w:rPr>
        <w:t>Charter of Rights</w:t>
      </w:r>
      <w:r w:rsidRPr="00411D82">
        <w:rPr>
          <w:i/>
          <w:iCs/>
          <w:color w:val="222222"/>
          <w:sz w:val="24"/>
          <w:szCs w:val="24"/>
          <w:shd w:val="clear" w:color="auto" w:fill="FFFFFF"/>
          <w:lang w:val="en-CA"/>
        </w:rPr>
        <w:t xml:space="preserve"> amended to guarantee equal rights for people with disabilities. It includes a foreword by the Hon. Rosalie Abella, former Justice of the Supreme Court of Canada. This memoir recounts the little-known saga of the disability amendment to the </w:t>
      </w:r>
      <w:r w:rsidRPr="00411D82">
        <w:rPr>
          <w:color w:val="222222"/>
          <w:sz w:val="24"/>
          <w:szCs w:val="24"/>
          <w:shd w:val="clear" w:color="auto" w:fill="FFFFFF"/>
          <w:lang w:val="en-CA"/>
        </w:rPr>
        <w:t>Charter</w:t>
      </w:r>
      <w:r w:rsidRPr="00411D82">
        <w:rPr>
          <w:i/>
          <w:iCs/>
          <w:color w:val="222222"/>
          <w:sz w:val="24"/>
          <w:szCs w:val="24"/>
          <w:shd w:val="clear" w:color="auto" w:fill="FFFFFF"/>
          <w:lang w:val="en-CA"/>
        </w:rPr>
        <w:t xml:space="preserve">. Few know that equality for people with disabilities was the only constitutional right added to the </w:t>
      </w:r>
      <w:r w:rsidRPr="00411D82">
        <w:rPr>
          <w:color w:val="222222"/>
          <w:sz w:val="24"/>
          <w:szCs w:val="24"/>
          <w:shd w:val="clear" w:color="auto" w:fill="FFFFFF"/>
          <w:lang w:val="en-CA"/>
        </w:rPr>
        <w:t>Canadian Charter of Rights and Freedoms</w:t>
      </w:r>
      <w:r w:rsidRPr="00411D82">
        <w:rPr>
          <w:i/>
          <w:iCs/>
          <w:color w:val="222222"/>
          <w:sz w:val="24"/>
          <w:szCs w:val="24"/>
          <w:shd w:val="clear" w:color="auto" w:fill="FFFFFF"/>
          <w:lang w:val="en-CA"/>
        </w:rPr>
        <w:t xml:space="preserve"> during the widely publicized eighteen-month battle over the patriation of Canada’s Constitution, from October 1980 to April 1982. It is aimed at anyone interested in disability rights, human rights, Canadian political or legal history, social justice advocacy, and Canadian constitutional law. It provides a mix of legal and legislative history, personal autobiography, grassroots advocacy strategy and reflective commentary on lessons learned. It compares social justice advocacy techniques in 1980 to those practiced in the disability rights arena four decades later.</w:t>
      </w:r>
    </w:p>
    <w:p w14:paraId="07AFA6F3" w14:textId="77777777" w:rsidR="007A6A79" w:rsidRDefault="007A6A79" w:rsidP="00295AB5">
      <w:pPr>
        <w:tabs>
          <w:tab w:val="left" w:pos="288"/>
        </w:tabs>
        <w:ind w:left="720" w:right="720"/>
        <w:jc w:val="both"/>
        <w:rPr>
          <w:i/>
          <w:iCs/>
          <w:color w:val="222222"/>
          <w:sz w:val="24"/>
          <w:szCs w:val="24"/>
          <w:shd w:val="clear" w:color="auto" w:fill="FFFFFF"/>
          <w:lang w:val="en-CA"/>
        </w:rPr>
      </w:pPr>
    </w:p>
    <w:p w14:paraId="0F04F70A" w14:textId="0B5F2C80" w:rsidR="003E4D75" w:rsidRPr="00B416CE" w:rsidRDefault="007A6A79" w:rsidP="00B416CE">
      <w:pPr>
        <w:tabs>
          <w:tab w:val="left" w:pos="288"/>
        </w:tabs>
        <w:ind w:left="720" w:right="720"/>
        <w:jc w:val="both"/>
        <w:rPr>
          <w:i/>
          <w:iCs/>
          <w:color w:val="222222"/>
          <w:sz w:val="24"/>
          <w:szCs w:val="24"/>
          <w:shd w:val="clear" w:color="auto" w:fill="FFFFFF"/>
          <w:lang w:val="fr-CA"/>
        </w:rPr>
      </w:pPr>
      <w:r w:rsidRPr="007A6A79">
        <w:rPr>
          <w:i/>
          <w:iCs/>
          <w:color w:val="222222"/>
          <w:sz w:val="24"/>
          <w:szCs w:val="24"/>
          <w:shd w:val="clear" w:color="auto" w:fill="FFFFFF"/>
          <w:lang w:val="fr-CA"/>
        </w:rPr>
        <w:t>L’auteur de cet article, David Lepofsky, avocat non-voyant et militant bénévole pour les droits des personnes handicapées, nous présente ses mémoires personnelles. Celles-ci illustrent son point de vue et son rôle dans la bataille victorieuse menée de 1980 à 1982 pour modifier la Charte des droits et libertés proposée par le Canada afin qu’y soit reconnue l’égalité des droits des personnes handicapées. Préfacées par madame Rosalie Abella, ancienne juge à la Cour suprême du Canada, elles racontent l’histoire méconnue des modifications qui ont été apportées à la Charte à l’égard des droits des personnes handicapées. En effet, très peu de gens savent que l’égalité des personnes handicapées est le seul droit constitutionnel qui a été ajouté à la Charte canadienne des droits et libertés pendant le bras de fer ultramédiatisé pour le rapatriement de la constitution canadienne qui s’est étiré pendant dix-huit mois, soit d’octobre 1980 à avril 1982. Ce texte s’adresse à quiconque cultive un intérêt pour les droits des personnes handicapées, les droits de la personne, l’histoire politique et législative du Canada, la défense de la justice sociale et le droit constitutionnel canadien. Il combine à la fois histoire juridique et législative, autobiographie intime et stratégies de militantisme communautaire, et contient des commentaires et des réflexions sur les leçons que nous avons pu en tirer. Les mémoires comparent également un éventail de techniques de défense de la justice sociale pour les personnes handicapées au fil de quatre décennies, soit de 1980 à aujourd’hui.</w:t>
      </w:r>
      <w:bookmarkEnd w:id="2"/>
    </w:p>
    <w:p w14:paraId="4C85F30E" w14:textId="77777777" w:rsidR="008D0B6B" w:rsidRDefault="008D0B6B" w:rsidP="00C54E8A">
      <w:pPr>
        <w:tabs>
          <w:tab w:val="left" w:pos="288"/>
        </w:tabs>
        <w:jc w:val="both"/>
        <w:rPr>
          <w:color w:val="222222"/>
          <w:sz w:val="24"/>
          <w:szCs w:val="24"/>
          <w:shd w:val="clear" w:color="auto" w:fill="FFFFFF"/>
          <w:lang w:val="en-CA"/>
        </w:rPr>
      </w:pPr>
    </w:p>
    <w:p w14:paraId="61916F87" w14:textId="2502964A" w:rsidR="00B67F7A" w:rsidRPr="00B416CE" w:rsidRDefault="003E4D75" w:rsidP="00B416CE">
      <w:pPr>
        <w:rPr>
          <w:b/>
          <w:bCs/>
          <w:color w:val="222222"/>
          <w:sz w:val="36"/>
          <w:szCs w:val="36"/>
          <w:shd w:val="clear" w:color="auto" w:fill="FFFFFF"/>
          <w:lang w:val="en-CA"/>
        </w:rPr>
      </w:pPr>
      <w:bookmarkStart w:id="3" w:name="_heading=h.40ew0vw" w:colFirst="0" w:colLast="0"/>
      <w:bookmarkStart w:id="4" w:name="_Toc132577032"/>
      <w:bookmarkEnd w:id="3"/>
      <w:r w:rsidRPr="00B416CE">
        <w:rPr>
          <w:b/>
          <w:bCs/>
          <w:sz w:val="24"/>
          <w:szCs w:val="24"/>
          <w:lang w:val="en-CA"/>
        </w:rPr>
        <w:lastRenderedPageBreak/>
        <w:t>XIII. THE BIG DAY: ADDRESSING THE JOINT COMMITTEE</w:t>
      </w:r>
      <w:bookmarkEnd w:id="4"/>
    </w:p>
    <w:p w14:paraId="23707E10" w14:textId="77777777" w:rsidR="00B67F7A" w:rsidRPr="00B67F7A" w:rsidRDefault="00B67F7A" w:rsidP="00C54E8A">
      <w:pPr>
        <w:tabs>
          <w:tab w:val="left" w:pos="288"/>
        </w:tabs>
        <w:jc w:val="both"/>
        <w:rPr>
          <w:color w:val="222222"/>
          <w:sz w:val="24"/>
          <w:szCs w:val="24"/>
          <w:shd w:val="clear" w:color="auto" w:fill="FFFFFF"/>
          <w:lang w:val="en-CA"/>
        </w:rPr>
      </w:pPr>
    </w:p>
    <w:p w14:paraId="2DA0F47F" w14:textId="77777777" w:rsidR="00B67F7A" w:rsidRPr="003E4D75" w:rsidRDefault="003E4D75" w:rsidP="00291786">
      <w:pPr>
        <w:pStyle w:val="Heading2"/>
      </w:pPr>
      <w:bookmarkStart w:id="5" w:name="_heading=h.2fk6b3p" w:colFirst="0" w:colLast="0"/>
      <w:bookmarkStart w:id="6" w:name="_Toc132577033"/>
      <w:bookmarkEnd w:id="5"/>
      <w:r>
        <w:t>A</w:t>
      </w:r>
      <w:r w:rsidRPr="003E4D75">
        <w:t>. Start Your Engines</w:t>
      </w:r>
      <w:bookmarkEnd w:id="6"/>
    </w:p>
    <w:p w14:paraId="12D066F5" w14:textId="77777777" w:rsidR="00B67F7A" w:rsidRPr="00B67F7A" w:rsidRDefault="003E4D75"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entered the Special Joint Committee of the Senate and the House of Commons on the Constitution of Canada (Joint Committee) meeting room on the morning of 12 December 1980, pumped, clad in a conservative-looking suit and tie, ready for action and more than a little nervous. A very weary CNIB managing director, Robert Mercer, met us there, exhausted after travelling for a full day to get to Ottawa. I apologized to him for putting him through that ordeal. Before the formal televised proceedings began, I got a brief chance to meet the committee’s presiding co-chair for that day’s proceeding, Senator Harry Hays. I may have been reading something into it, but his deportment seemed especially restrained. I was aware that, just a short time earlier, he had triggered embarrassingly bad press when he made a remark to representatives of the National Action Committee on the Status of Women, presenting at the Joint Committee, which reflected some of the very stereotypes about women against which they were campaigning:</w:t>
      </w:r>
    </w:p>
    <w:p w14:paraId="600A8F08" w14:textId="77777777" w:rsidR="00B67F7A" w:rsidRPr="00B67F7A" w:rsidRDefault="00B67F7A" w:rsidP="00C54E8A">
      <w:pPr>
        <w:tabs>
          <w:tab w:val="left" w:pos="288"/>
        </w:tabs>
        <w:jc w:val="both"/>
        <w:rPr>
          <w:color w:val="222222"/>
          <w:sz w:val="24"/>
          <w:szCs w:val="24"/>
          <w:shd w:val="clear" w:color="auto" w:fill="FFFFFF"/>
          <w:lang w:val="en-CA"/>
        </w:rPr>
      </w:pPr>
    </w:p>
    <w:p w14:paraId="101E116E" w14:textId="77777777" w:rsidR="00B67F7A" w:rsidRPr="00B67F7A" w:rsidRDefault="00B67F7A" w:rsidP="003E4D75">
      <w:pPr>
        <w:tabs>
          <w:tab w:val="left" w:pos="288"/>
        </w:tabs>
        <w:ind w:left="720" w:right="720"/>
        <w:jc w:val="both"/>
        <w:rPr>
          <w:color w:val="222222"/>
          <w:sz w:val="24"/>
          <w:szCs w:val="24"/>
          <w:shd w:val="clear" w:color="auto" w:fill="FFFFFF"/>
          <w:vertAlign w:val="superscript"/>
          <w:lang w:val="en-CA"/>
        </w:rPr>
      </w:pPr>
      <w:r w:rsidRPr="00B67F7A">
        <w:rPr>
          <w:color w:val="222222"/>
          <w:sz w:val="24"/>
          <w:szCs w:val="24"/>
          <w:shd w:val="clear" w:color="auto" w:fill="FFFFFF"/>
          <w:lang w:val="en-CA"/>
        </w:rPr>
        <w:t xml:space="preserve">Joint Chairman (Senator Hays): We want to thank the National Action Committee on the Status of Women for being present today and for your brief. We appreciate you coming and as a matter of fact we are honoured. However, your time is </w:t>
      </w:r>
      <w:proofErr w:type="gramStart"/>
      <w:r w:rsidRPr="00B67F7A">
        <w:rPr>
          <w:color w:val="222222"/>
          <w:sz w:val="24"/>
          <w:szCs w:val="24"/>
          <w:shd w:val="clear" w:color="auto" w:fill="FFFFFF"/>
          <w:lang w:val="en-CA"/>
        </w:rPr>
        <w:t>up</w:t>
      </w:r>
      <w:proofErr w:type="gramEnd"/>
      <w:r w:rsidRPr="00B67F7A">
        <w:rPr>
          <w:color w:val="222222"/>
          <w:sz w:val="24"/>
          <w:szCs w:val="24"/>
          <w:shd w:val="clear" w:color="auto" w:fill="FFFFFF"/>
          <w:lang w:val="en-CA"/>
        </w:rPr>
        <w:t xml:space="preserve"> and I was just wondering why we do not have a section in here for babies and children. All you girls are going to be </w:t>
      </w:r>
      <w:proofErr w:type="gramStart"/>
      <w:r w:rsidRPr="00B67F7A">
        <w:rPr>
          <w:color w:val="222222"/>
          <w:sz w:val="24"/>
          <w:szCs w:val="24"/>
          <w:shd w:val="clear" w:color="auto" w:fill="FFFFFF"/>
          <w:lang w:val="en-CA"/>
        </w:rPr>
        <w:t>working</w:t>
      </w:r>
      <w:proofErr w:type="gramEnd"/>
      <w:r w:rsidRPr="00B67F7A">
        <w:rPr>
          <w:color w:val="222222"/>
          <w:sz w:val="24"/>
          <w:szCs w:val="24"/>
          <w:shd w:val="clear" w:color="auto" w:fill="FFFFFF"/>
          <w:lang w:val="en-CA"/>
        </w:rPr>
        <w:t xml:space="preserve"> and we are not going to have anybody to look after them.</w:t>
      </w:r>
      <w:r w:rsidRPr="00B67F7A">
        <w:rPr>
          <w:color w:val="222222"/>
          <w:sz w:val="24"/>
          <w:szCs w:val="24"/>
          <w:shd w:val="clear" w:color="auto" w:fill="FFFFFF"/>
          <w:vertAlign w:val="superscript"/>
          <w:lang w:val="en-CA"/>
        </w:rPr>
        <w:footnoteReference w:id="2"/>
      </w:r>
    </w:p>
    <w:p w14:paraId="6C8F7589" w14:textId="77777777" w:rsidR="00B67F7A" w:rsidRPr="00B67F7A" w:rsidRDefault="00B67F7A" w:rsidP="00C54E8A">
      <w:pPr>
        <w:tabs>
          <w:tab w:val="left" w:pos="288"/>
        </w:tabs>
        <w:jc w:val="both"/>
        <w:rPr>
          <w:color w:val="222222"/>
          <w:sz w:val="24"/>
          <w:szCs w:val="24"/>
          <w:shd w:val="clear" w:color="auto" w:fill="FFFFFF"/>
          <w:vertAlign w:val="superscript"/>
          <w:lang w:val="en-CA"/>
        </w:rPr>
      </w:pPr>
    </w:p>
    <w:p w14:paraId="569CFB09"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I quickly banished from my mind my vivid recollection of the senator’s earlier and oft-re-aired embarrassing video clip. I needed to focus on my goal that morning.</w:t>
      </w:r>
    </w:p>
    <w:p w14:paraId="5F576242" w14:textId="77777777" w:rsidR="00B67F7A" w:rsidRPr="00B67F7A" w:rsidRDefault="003E4D75"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Let me describe my presentation’s key points and offer some reflections on them. The entire Hansard transcript of my presentation to the Joint Committee is set out in Appendix 1.</w:t>
      </w:r>
    </w:p>
    <w:p w14:paraId="36615D96" w14:textId="77777777" w:rsidR="00B67F7A" w:rsidRPr="00B67F7A" w:rsidRDefault="00B67F7A" w:rsidP="00C54E8A">
      <w:pPr>
        <w:tabs>
          <w:tab w:val="left" w:pos="288"/>
        </w:tabs>
        <w:jc w:val="both"/>
        <w:rPr>
          <w:color w:val="222222"/>
          <w:sz w:val="24"/>
          <w:szCs w:val="24"/>
          <w:shd w:val="clear" w:color="auto" w:fill="FFFFFF"/>
          <w:lang w:val="en-CA"/>
        </w:rPr>
      </w:pPr>
    </w:p>
    <w:p w14:paraId="505014A4" w14:textId="77777777" w:rsidR="00B67F7A" w:rsidRPr="003E4D75" w:rsidRDefault="003E4D75" w:rsidP="00291786">
      <w:pPr>
        <w:pStyle w:val="Heading2"/>
      </w:pPr>
      <w:bookmarkStart w:id="7" w:name="_heading=h.upglbi" w:colFirst="0" w:colLast="0"/>
      <w:bookmarkStart w:id="8" w:name="_Toc132577034"/>
      <w:bookmarkEnd w:id="7"/>
      <w:r w:rsidRPr="003E4D75">
        <w:t xml:space="preserve">B. Try </w:t>
      </w:r>
      <w:r>
        <w:t>t</w:t>
      </w:r>
      <w:r w:rsidRPr="003E4D75">
        <w:t xml:space="preserve">o Quickly Grab </w:t>
      </w:r>
      <w:r>
        <w:t>t</w:t>
      </w:r>
      <w:r w:rsidRPr="003E4D75">
        <w:t>he Joint Committee’s Attention</w:t>
      </w:r>
      <w:bookmarkEnd w:id="8"/>
      <w:r w:rsidRPr="003E4D75">
        <w:t xml:space="preserve"> </w:t>
      </w:r>
    </w:p>
    <w:p w14:paraId="2B34A68E" w14:textId="77777777" w:rsidR="00B67F7A" w:rsidRPr="00B67F7A" w:rsidRDefault="003E4D75"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tried a double-barrelled opening to quickly grab the Joint Committee’s attention. I wanted to show that there was strong support within the disability community for the call for the disability amendment. I feared that the committee’s members might think that there was not a great deal of support for it. I presented a letter of endorsement from the Ontario Federation of the Physically Handicapped.</w:t>
      </w:r>
      <w:r w:rsidR="00B67F7A" w:rsidRPr="00B67F7A">
        <w:rPr>
          <w:color w:val="222222"/>
          <w:sz w:val="24"/>
          <w:szCs w:val="24"/>
          <w:shd w:val="clear" w:color="auto" w:fill="FFFFFF"/>
          <w:vertAlign w:val="superscript"/>
          <w:lang w:val="en-CA"/>
        </w:rPr>
        <w:footnoteReference w:id="3"/>
      </w:r>
      <w:r w:rsidR="00B67F7A" w:rsidRPr="00B67F7A">
        <w:rPr>
          <w:color w:val="222222"/>
          <w:sz w:val="24"/>
          <w:szCs w:val="24"/>
          <w:shd w:val="clear" w:color="auto" w:fill="FFFFFF"/>
          <w:lang w:val="en-CA"/>
        </w:rPr>
        <w:t xml:space="preserve"> You will not find this coalition on Google. In 1980, it was a group of some thirty-seven disability organizations that the Ontario March of Dimes had brought together. I had been working closely with the March of Dimes for months. The March of Dimes was a key player in the Ontario Coalition for Human Rights for the Handicapped as we campaigned to get the Ontario </w:t>
      </w:r>
      <w:r w:rsidR="00B67F7A" w:rsidRPr="00B67F7A">
        <w:rPr>
          <w:i/>
          <w:iCs/>
          <w:color w:val="222222"/>
          <w:sz w:val="24"/>
          <w:szCs w:val="24"/>
          <w:shd w:val="clear" w:color="auto" w:fill="FFFFFF"/>
          <w:lang w:val="en-CA"/>
        </w:rPr>
        <w:t>Human Rights Code</w:t>
      </w:r>
      <w:r w:rsidR="00B67F7A" w:rsidRPr="00B67F7A">
        <w:rPr>
          <w:color w:val="222222"/>
          <w:sz w:val="24"/>
          <w:szCs w:val="24"/>
          <w:shd w:val="clear" w:color="auto" w:fill="FFFFFF"/>
          <w:lang w:val="en-CA"/>
        </w:rPr>
        <w:t xml:space="preserve"> amended to prohibit disability </w:t>
      </w:r>
      <w:r w:rsidR="00B67F7A" w:rsidRPr="00B67F7A">
        <w:rPr>
          <w:color w:val="222222"/>
          <w:sz w:val="24"/>
          <w:szCs w:val="24"/>
          <w:shd w:val="clear" w:color="auto" w:fill="FFFFFF"/>
          <w:lang w:val="en-CA"/>
        </w:rPr>
        <w:lastRenderedPageBreak/>
        <w:t>discrimination. It only took me one rushed phone call to get the March of Dimes to prepare this important endorsement letter.</w:t>
      </w:r>
      <w:r w:rsidR="00B67F7A" w:rsidRPr="00B67F7A">
        <w:rPr>
          <w:color w:val="222222"/>
          <w:sz w:val="24"/>
          <w:szCs w:val="24"/>
          <w:shd w:val="clear" w:color="auto" w:fill="FFFFFF"/>
          <w:vertAlign w:val="superscript"/>
          <w:lang w:val="en-CA"/>
        </w:rPr>
        <w:footnoteReference w:id="4"/>
      </w:r>
      <w:r w:rsidR="00B67F7A" w:rsidRPr="00B67F7A">
        <w:rPr>
          <w:color w:val="222222"/>
          <w:sz w:val="24"/>
          <w:szCs w:val="24"/>
          <w:shd w:val="clear" w:color="auto" w:fill="FFFFFF"/>
          <w:lang w:val="en-CA"/>
        </w:rPr>
        <w:t xml:space="preserve"> </w:t>
      </w:r>
    </w:p>
    <w:p w14:paraId="1DE65A4C" w14:textId="77777777" w:rsidR="00B67F7A" w:rsidRPr="00B67F7A" w:rsidRDefault="003E4D75"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Next, to exemplify our commitment to equality, we passed copies of our brief in Braille and recorded on audio cassette to each member of the Joint Committee.</w:t>
      </w:r>
      <w:r w:rsidR="00B67F7A" w:rsidRPr="00B67F7A">
        <w:rPr>
          <w:color w:val="222222"/>
          <w:sz w:val="24"/>
          <w:szCs w:val="24"/>
          <w:shd w:val="clear" w:color="auto" w:fill="FFFFFF"/>
          <w:vertAlign w:val="superscript"/>
          <w:lang w:val="en-CA"/>
        </w:rPr>
        <w:footnoteReference w:id="5"/>
      </w:r>
      <w:r w:rsidR="00B67F7A" w:rsidRPr="00B67F7A">
        <w:rPr>
          <w:color w:val="222222"/>
          <w:sz w:val="24"/>
          <w:szCs w:val="24"/>
          <w:shd w:val="clear" w:color="auto" w:fill="FFFFFF"/>
          <w:lang w:val="en-CA"/>
        </w:rPr>
        <w:t xml:space="preserve"> No doubt, these members of parliament and senators had only ever received briefs in print and had never given a moment’s thought to the need to make printed information available to people with disabilities in accessible formats.</w:t>
      </w:r>
    </w:p>
    <w:p w14:paraId="2922DEBE" w14:textId="77777777" w:rsidR="003E4D75" w:rsidRDefault="003E4D75" w:rsidP="00C54E8A">
      <w:pPr>
        <w:tabs>
          <w:tab w:val="left" w:pos="288"/>
        </w:tabs>
        <w:jc w:val="both"/>
        <w:rPr>
          <w:color w:val="222222"/>
          <w:sz w:val="24"/>
          <w:szCs w:val="24"/>
          <w:shd w:val="clear" w:color="auto" w:fill="FFFFFF"/>
          <w:lang w:val="en-CA"/>
        </w:rPr>
      </w:pPr>
      <w:bookmarkStart w:id="9" w:name="_heading=h.3ep43zb" w:colFirst="0" w:colLast="0"/>
      <w:bookmarkStart w:id="10" w:name="_Toc132577035"/>
      <w:bookmarkEnd w:id="9"/>
    </w:p>
    <w:p w14:paraId="39C7DD4A" w14:textId="77777777" w:rsidR="00B67F7A" w:rsidRPr="003E4D75" w:rsidRDefault="003E4D75" w:rsidP="00291786">
      <w:pPr>
        <w:pStyle w:val="Heading2"/>
      </w:pPr>
      <w:r w:rsidRPr="003E4D75">
        <w:t xml:space="preserve">C. My First Argument: Combating Pervasive Problematic Attitudes Towards People </w:t>
      </w:r>
      <w:r>
        <w:t>w</w:t>
      </w:r>
      <w:r w:rsidRPr="003E4D75">
        <w:t>ith Disabilities</w:t>
      </w:r>
      <w:bookmarkEnd w:id="10"/>
      <w:r w:rsidRPr="003E4D75">
        <w:t xml:space="preserve"> </w:t>
      </w:r>
    </w:p>
    <w:p w14:paraId="4381378D" w14:textId="77777777" w:rsidR="00B67F7A" w:rsidRPr="00B67F7A" w:rsidRDefault="003E4D75"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pivoted to the core reasons why we needed constitutional protection against disability discrimination. My first salvo was one that I was quite comfortable launching. I had used it for a half dozen years in speeches and a few media interviews. I argued that we needed the disability amendment to combat the results of pervasive harmful public attitudes towards people with disabilities.</w:t>
      </w:r>
      <w:r w:rsidR="00B67F7A" w:rsidRPr="00B67F7A">
        <w:rPr>
          <w:color w:val="222222"/>
          <w:sz w:val="24"/>
          <w:szCs w:val="24"/>
          <w:shd w:val="clear" w:color="auto" w:fill="FFFFFF"/>
          <w:vertAlign w:val="superscript"/>
          <w:lang w:val="en-CA"/>
        </w:rPr>
        <w:footnoteReference w:id="6"/>
      </w:r>
      <w:r w:rsidR="00B67F7A" w:rsidRPr="00B67F7A">
        <w:rPr>
          <w:color w:val="222222"/>
          <w:sz w:val="24"/>
          <w:szCs w:val="24"/>
          <w:shd w:val="clear" w:color="auto" w:fill="FFFFFF"/>
          <w:lang w:val="en-CA"/>
        </w:rPr>
        <w:t xml:space="preserve"> As touched upon in Chapter 4, for a half decade leading up to that day in speech after speech, I, like many other people with disabilities, had tried to dispel the prevailing notion that the biggest problem we face is our disabilities. People look at a blind person, I thought, and too often all they see is the white cane. They so often assume that we are pitiful and utterly incapable of doing most things on our own. At that time, it was transformative and even fundamentally disruptive to tell an audience that our problem is not our disability but, instead, the attitude of others towards our disability.</w:t>
      </w:r>
      <w:r w:rsidR="00B67F7A" w:rsidRPr="00B67F7A">
        <w:rPr>
          <w:color w:val="222222"/>
          <w:sz w:val="24"/>
          <w:szCs w:val="24"/>
          <w:shd w:val="clear" w:color="auto" w:fill="FFFFFF"/>
          <w:vertAlign w:val="superscript"/>
          <w:lang w:val="en-CA"/>
        </w:rPr>
        <w:footnoteReference w:id="7"/>
      </w:r>
    </w:p>
    <w:p w14:paraId="4F3CE3A1" w14:textId="77777777" w:rsidR="00B67F7A" w:rsidRPr="00B67F7A" w:rsidRDefault="008E669E"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For that time, this was a revolutionary argument. The conventional wisdom within Canada was that our disability was our big problem. When a person with a disability achieved something, such as a blind person becoming a lawyer, we were viewed as amazing and inspirational. That was rooted in the basic belief that, with a disability, it is basically impossible to be independent. Anyone with a disability who accomplishes anything must be a superstar. Those who called us inspirational, amazing, or superhuman sincerely thought they were complimenting us. That description, however, was and remains hurtful and harmful, despite its being well intentioned. </w:t>
      </w:r>
    </w:p>
    <w:p w14:paraId="6DF5754C" w14:textId="77777777" w:rsidR="00B67F7A" w:rsidRPr="00B67F7A" w:rsidRDefault="008E669E"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In 1980 and earlier, quite </w:t>
      </w:r>
      <w:proofErr w:type="gramStart"/>
      <w:r w:rsidR="00B67F7A" w:rsidRPr="00B67F7A">
        <w:rPr>
          <w:color w:val="222222"/>
          <w:sz w:val="24"/>
          <w:szCs w:val="24"/>
          <w:shd w:val="clear" w:color="auto" w:fill="FFFFFF"/>
          <w:lang w:val="en-CA"/>
        </w:rPr>
        <w:t>a number of</w:t>
      </w:r>
      <w:proofErr w:type="gramEnd"/>
      <w:r w:rsidR="00B67F7A" w:rsidRPr="00B67F7A">
        <w:rPr>
          <w:color w:val="222222"/>
          <w:sz w:val="24"/>
          <w:szCs w:val="24"/>
          <w:shd w:val="clear" w:color="auto" w:fill="FFFFFF"/>
          <w:lang w:val="en-CA"/>
        </w:rPr>
        <w:t xml:space="preserve"> others within the disability community were saying the same thing that I said. I had picked up their message, adopted it, and perhaps put my own verbal polish or spin upon it. When I have appeared before legislative committees since that day, I have had chances to field-test arguments and select the punchiest turns of phrase used in earlier speeches, media interviews, and lectures to professional organizations. Other than this lead-off argument, I had not had a prior chance to field-test my other arguments in support of the disability amendment before I addressed the Joint Committee that day. The only earlier opportunity I had had was the paltry five minutes or less that I got to speak to the Special Parliamentary Committee on the Disabled and Handicapped three months earlier.</w:t>
      </w:r>
    </w:p>
    <w:p w14:paraId="7CA1CE54" w14:textId="77777777" w:rsidR="00B67F7A" w:rsidRPr="00B67F7A" w:rsidRDefault="008E669E"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My strategy in December 1980 – namely, starting my argument by shaking up the audience with a paradigm shift when thinking about disability – is now deeply embedded in my advocacy. I summed it up for the Joint Committee:</w:t>
      </w:r>
    </w:p>
    <w:p w14:paraId="6675781B" w14:textId="77777777" w:rsidR="00B67F7A" w:rsidRPr="00B67F7A" w:rsidRDefault="00B67F7A" w:rsidP="00C54E8A">
      <w:pPr>
        <w:tabs>
          <w:tab w:val="left" w:pos="288"/>
        </w:tabs>
        <w:jc w:val="both"/>
        <w:rPr>
          <w:color w:val="222222"/>
          <w:sz w:val="24"/>
          <w:szCs w:val="24"/>
          <w:shd w:val="clear" w:color="auto" w:fill="FFFFFF"/>
          <w:lang w:val="en-CA"/>
        </w:rPr>
      </w:pPr>
    </w:p>
    <w:p w14:paraId="438D8CEF" w14:textId="77777777" w:rsidR="00B67F7A" w:rsidRPr="00B67F7A" w:rsidRDefault="00B67F7A" w:rsidP="008E669E">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lastRenderedPageBreak/>
        <w:t>The biggest problem very often resulting from blindness or other handicap is the well-intentioned cruelty which many members of the public unintentionally or unknowingly impose upon us. The pity, the patronization, discriminatory attitudes and condescension which handicapped people know to be, unfortunately, almost nonstop components of their life, is in fact the biggest problem they face.</w:t>
      </w:r>
      <w:r w:rsidRPr="00B67F7A">
        <w:rPr>
          <w:color w:val="222222"/>
          <w:sz w:val="24"/>
          <w:szCs w:val="24"/>
          <w:shd w:val="clear" w:color="auto" w:fill="FFFFFF"/>
          <w:vertAlign w:val="superscript"/>
          <w:lang w:val="en-CA"/>
        </w:rPr>
        <w:footnoteReference w:id="8"/>
      </w:r>
    </w:p>
    <w:p w14:paraId="28648099" w14:textId="77777777" w:rsidR="00B67F7A" w:rsidRPr="00B67F7A" w:rsidRDefault="00B67F7A" w:rsidP="00C54E8A">
      <w:pPr>
        <w:tabs>
          <w:tab w:val="left" w:pos="288"/>
        </w:tabs>
        <w:jc w:val="both"/>
        <w:rPr>
          <w:color w:val="222222"/>
          <w:sz w:val="24"/>
          <w:szCs w:val="24"/>
          <w:shd w:val="clear" w:color="auto" w:fill="FFFFFF"/>
          <w:lang w:val="en-CA"/>
        </w:rPr>
      </w:pPr>
    </w:p>
    <w:p w14:paraId="32A623E8"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I did not candy-coat the barriers we faced in society. I attributed them to the prevailing public attitudes towards people with disabilities.</w:t>
      </w:r>
      <w:r w:rsidRPr="00B67F7A">
        <w:rPr>
          <w:color w:val="222222"/>
          <w:sz w:val="24"/>
          <w:szCs w:val="24"/>
          <w:shd w:val="clear" w:color="auto" w:fill="FFFFFF"/>
          <w:vertAlign w:val="superscript"/>
          <w:lang w:val="en-CA"/>
        </w:rPr>
        <w:footnoteReference w:id="9"/>
      </w:r>
      <w:r w:rsidRPr="00B67F7A">
        <w:rPr>
          <w:color w:val="222222"/>
          <w:sz w:val="24"/>
          <w:szCs w:val="24"/>
          <w:shd w:val="clear" w:color="auto" w:fill="FFFFFF"/>
          <w:lang w:val="en-CA"/>
        </w:rPr>
        <w:t xml:space="preserve"> I argued that, for a majority of people with disabilities “the public is not often ready to accept us as equals, not by reason of malevolence, but because of uninformed or misinformed attitudes, underestimating our capabilities by fear of the handicapped person – you might call it the “freak syndrome,” not perceiving a handicapped person as just a normal human being.”</w:t>
      </w:r>
      <w:r w:rsidRPr="00B67F7A">
        <w:rPr>
          <w:color w:val="222222"/>
          <w:sz w:val="24"/>
          <w:szCs w:val="24"/>
          <w:shd w:val="clear" w:color="auto" w:fill="FFFFFF"/>
          <w:vertAlign w:val="superscript"/>
          <w:lang w:val="en-CA"/>
        </w:rPr>
        <w:footnoteReference w:id="10"/>
      </w:r>
      <w:r w:rsidRPr="00B67F7A">
        <w:rPr>
          <w:color w:val="222222"/>
          <w:sz w:val="24"/>
          <w:szCs w:val="24"/>
          <w:shd w:val="clear" w:color="auto" w:fill="FFFFFF"/>
          <w:lang w:val="en-CA"/>
        </w:rPr>
        <w:t xml:space="preserve"> I explained that this has led to job discrimination against people with disabilities that, I said, “the public are only now becoming conscious of.” The barrier we face is “the employer who cannot believe you can function” or a landlord who fears that a tenant with a disability may be “a health hazard.”</w:t>
      </w:r>
      <w:r w:rsidRPr="00B67F7A">
        <w:rPr>
          <w:color w:val="222222"/>
          <w:sz w:val="24"/>
          <w:szCs w:val="24"/>
          <w:shd w:val="clear" w:color="auto" w:fill="FFFFFF"/>
          <w:vertAlign w:val="superscript"/>
          <w:lang w:val="en-CA"/>
        </w:rPr>
        <w:footnoteReference w:id="11"/>
      </w:r>
      <w:r w:rsidRPr="00B67F7A">
        <w:rPr>
          <w:color w:val="222222"/>
          <w:sz w:val="24"/>
          <w:szCs w:val="24"/>
          <w:shd w:val="clear" w:color="auto" w:fill="FFFFFF"/>
          <w:lang w:val="en-CA"/>
        </w:rPr>
        <w:t xml:space="preserve"> I also said that education is only accessible “to a limited degree” to a student with disabilities.</w:t>
      </w:r>
      <w:r w:rsidRPr="00B67F7A">
        <w:rPr>
          <w:color w:val="222222"/>
          <w:sz w:val="24"/>
          <w:szCs w:val="24"/>
          <w:shd w:val="clear" w:color="auto" w:fill="FFFFFF"/>
          <w:vertAlign w:val="superscript"/>
          <w:lang w:val="en-CA"/>
        </w:rPr>
        <w:footnoteReference w:id="12"/>
      </w:r>
      <w:r w:rsidRPr="00B67F7A">
        <w:rPr>
          <w:color w:val="222222"/>
          <w:sz w:val="24"/>
          <w:szCs w:val="24"/>
          <w:shd w:val="clear" w:color="auto" w:fill="FFFFFF"/>
          <w:lang w:val="en-CA"/>
        </w:rPr>
        <w:t xml:space="preserve"> I tied the pervasive attitude towards people with disabilities to the fact that most buildings are inaccessible “as we all know.”</w:t>
      </w:r>
      <w:r w:rsidRPr="00B67F7A">
        <w:rPr>
          <w:color w:val="222222"/>
          <w:sz w:val="24"/>
          <w:szCs w:val="24"/>
          <w:shd w:val="clear" w:color="auto" w:fill="FFFFFF"/>
          <w:vertAlign w:val="superscript"/>
          <w:lang w:val="en-CA"/>
        </w:rPr>
        <w:footnoteReference w:id="13"/>
      </w:r>
    </w:p>
    <w:p w14:paraId="2ABC4935" w14:textId="77777777" w:rsidR="00B67F7A" w:rsidRPr="00B67F7A" w:rsidRDefault="008E669E"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made a particular point that day that I continue to make in many of my speeches and lectures on disability issues four decades later, with only minor modifications to update my terminology: “These are functions of an attitude that the world simply does not contain handicapped people or that those handicapped people are not going to be out there trying to get job, trying to get into housing or buildings.”</w:t>
      </w:r>
      <w:r w:rsidR="00B67F7A" w:rsidRPr="00B67F7A">
        <w:rPr>
          <w:color w:val="222222"/>
          <w:sz w:val="24"/>
          <w:szCs w:val="24"/>
          <w:shd w:val="clear" w:color="auto" w:fill="FFFFFF"/>
          <w:vertAlign w:val="superscript"/>
          <w:lang w:val="en-CA"/>
        </w:rPr>
        <w:footnoteReference w:id="14"/>
      </w:r>
      <w:r w:rsidR="00B67F7A" w:rsidRPr="00B67F7A">
        <w:rPr>
          <w:color w:val="222222"/>
          <w:sz w:val="24"/>
          <w:szCs w:val="24"/>
          <w:shd w:val="clear" w:color="auto" w:fill="FFFFFF"/>
          <w:lang w:val="en-CA"/>
        </w:rPr>
        <w:t xml:space="preserve"> I explained that this attitude is most in need of action when it comes to legislation: </w:t>
      </w:r>
    </w:p>
    <w:p w14:paraId="14514C80" w14:textId="77777777" w:rsidR="00B67F7A" w:rsidRPr="00B67F7A" w:rsidRDefault="00B67F7A" w:rsidP="00C54E8A">
      <w:pPr>
        <w:tabs>
          <w:tab w:val="left" w:pos="288"/>
        </w:tabs>
        <w:jc w:val="both"/>
        <w:rPr>
          <w:color w:val="222222"/>
          <w:sz w:val="24"/>
          <w:szCs w:val="24"/>
          <w:shd w:val="clear" w:color="auto" w:fill="FFFFFF"/>
          <w:lang w:val="en-CA"/>
        </w:rPr>
      </w:pPr>
    </w:p>
    <w:p w14:paraId="0DF0809A" w14:textId="77777777" w:rsidR="00B67F7A" w:rsidRPr="00B67F7A" w:rsidRDefault="00B67F7A" w:rsidP="008E669E">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 xml:space="preserve">Handicapped people in the struggle for equality and equality of opportunity find that not only do people discriminate in the access to jobs, buildings, facilities, services and housing, but that, in fact, legislators, persons passing laws have also experienced the same negative attitudes towards the handicapped and have passed laws which are in fact discriminatory. … Here, we are concerned with not just human </w:t>
      </w:r>
      <w:proofErr w:type="gramStart"/>
      <w:r w:rsidRPr="00B67F7A">
        <w:rPr>
          <w:color w:val="222222"/>
          <w:sz w:val="24"/>
          <w:szCs w:val="24"/>
          <w:shd w:val="clear" w:color="auto" w:fill="FFFFFF"/>
          <w:lang w:val="en-CA"/>
        </w:rPr>
        <w:t>conduct</w:t>
      </w:r>
      <w:proofErr w:type="gramEnd"/>
      <w:r w:rsidRPr="00B67F7A">
        <w:rPr>
          <w:color w:val="222222"/>
          <w:sz w:val="24"/>
          <w:szCs w:val="24"/>
          <w:shd w:val="clear" w:color="auto" w:fill="FFFFFF"/>
          <w:lang w:val="en-CA"/>
        </w:rPr>
        <w:t xml:space="preserve"> which is discriminatory, but legislation which discriminates.</w:t>
      </w:r>
      <w:r w:rsidRPr="00B67F7A">
        <w:rPr>
          <w:color w:val="222222"/>
          <w:sz w:val="24"/>
          <w:szCs w:val="24"/>
          <w:shd w:val="clear" w:color="auto" w:fill="FFFFFF"/>
          <w:vertAlign w:val="superscript"/>
          <w:lang w:val="en-CA"/>
        </w:rPr>
        <w:footnoteReference w:id="15"/>
      </w:r>
    </w:p>
    <w:p w14:paraId="5E824CF7" w14:textId="77777777" w:rsidR="00B67F7A" w:rsidRPr="00B67F7A" w:rsidRDefault="00B67F7A" w:rsidP="00C54E8A">
      <w:pPr>
        <w:tabs>
          <w:tab w:val="left" w:pos="288"/>
        </w:tabs>
        <w:jc w:val="both"/>
        <w:rPr>
          <w:color w:val="222222"/>
          <w:sz w:val="24"/>
          <w:szCs w:val="24"/>
          <w:shd w:val="clear" w:color="auto" w:fill="FFFFFF"/>
          <w:lang w:val="en-CA"/>
        </w:rPr>
      </w:pPr>
    </w:p>
    <w:p w14:paraId="47CF8256"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Rereading my presentation to the Joint Committee decades later, I almost cringe at the fact that so central a plank in my case in support of the disability amendment was that it was needed because of pervasive harmful attitudes towards people with disabilities.</w:t>
      </w:r>
      <w:r w:rsidRPr="00B67F7A">
        <w:rPr>
          <w:color w:val="222222"/>
          <w:sz w:val="24"/>
          <w:szCs w:val="24"/>
          <w:shd w:val="clear" w:color="auto" w:fill="FFFFFF"/>
          <w:vertAlign w:val="superscript"/>
          <w:lang w:val="en-CA"/>
        </w:rPr>
        <w:footnoteReference w:id="16"/>
      </w:r>
      <w:r w:rsidRPr="00B67F7A">
        <w:rPr>
          <w:color w:val="222222"/>
          <w:sz w:val="24"/>
          <w:szCs w:val="24"/>
          <w:shd w:val="clear" w:color="auto" w:fill="FFFFFF"/>
          <w:lang w:val="en-CA"/>
        </w:rPr>
        <w:t xml:space="preserve"> I largely dropped that line of argument years ago. This is so even though I am keenly aware of the fact that problematic public attitudes towards people with disabilities persist to this day, though to a somewhat reduced degree or in a more gently expressed form. </w:t>
      </w:r>
      <w:r w:rsidRPr="00B67F7A">
        <w:rPr>
          <w:color w:val="222222"/>
          <w:sz w:val="24"/>
          <w:szCs w:val="24"/>
          <w:shd w:val="clear" w:color="auto" w:fill="FFFFFF"/>
          <w:lang w:val="en-CA"/>
        </w:rPr>
        <w:lastRenderedPageBreak/>
        <w:t>I have moved it to the back burner in no small part because politicians, who resist enacting or enforcing mandatory accessibility legislation, often argue that, because disability barriers arise from public attitudes, the solution is simply more public education on disability. Yet our overwhelming experience over these many decades shows that public education does not solve the problem. Our aim is to change actions that create or perpetuate barriers. Changes in attitudes will follow from those changes in actions.</w:t>
      </w:r>
    </w:p>
    <w:p w14:paraId="7EC7F894" w14:textId="77777777" w:rsidR="00B67F7A" w:rsidRPr="00B67F7A" w:rsidRDefault="00B67F7A" w:rsidP="00C54E8A">
      <w:pPr>
        <w:tabs>
          <w:tab w:val="left" w:pos="288"/>
        </w:tabs>
        <w:jc w:val="both"/>
        <w:rPr>
          <w:color w:val="222222"/>
          <w:sz w:val="24"/>
          <w:szCs w:val="24"/>
          <w:shd w:val="clear" w:color="auto" w:fill="FFFFFF"/>
          <w:lang w:val="en-CA"/>
        </w:rPr>
      </w:pPr>
    </w:p>
    <w:p w14:paraId="58982FB7" w14:textId="77777777" w:rsidR="00B67F7A" w:rsidRPr="008E669E" w:rsidRDefault="008E669E" w:rsidP="00291786">
      <w:pPr>
        <w:pStyle w:val="Heading2"/>
      </w:pPr>
      <w:bookmarkStart w:id="11" w:name="_heading=h.1tuee74" w:colFirst="0" w:colLast="0"/>
      <w:bookmarkStart w:id="12" w:name="_Toc132577036"/>
      <w:bookmarkEnd w:id="11"/>
      <w:r w:rsidRPr="008E669E">
        <w:t xml:space="preserve">D. My Second Argument: Excluding People </w:t>
      </w:r>
      <w:r w:rsidR="00EE4E87">
        <w:t>w</w:t>
      </w:r>
      <w:r w:rsidRPr="008E669E">
        <w:t xml:space="preserve">ith Disabilities Contradicts </w:t>
      </w:r>
      <w:r w:rsidR="00EE4E87">
        <w:t>t</w:t>
      </w:r>
      <w:r w:rsidRPr="008E669E">
        <w:t xml:space="preserve">he Government’s Stated Goal </w:t>
      </w:r>
      <w:r w:rsidR="00EE4E87">
        <w:t>o</w:t>
      </w:r>
      <w:r w:rsidRPr="008E669E">
        <w:t xml:space="preserve">f Equal Rights </w:t>
      </w:r>
      <w:r w:rsidR="00EE4E87">
        <w:t>f</w:t>
      </w:r>
      <w:r w:rsidRPr="008E669E">
        <w:t>or All Minorities</w:t>
      </w:r>
      <w:bookmarkEnd w:id="12"/>
      <w:r w:rsidRPr="008E669E">
        <w:t xml:space="preserve"> </w:t>
      </w:r>
    </w:p>
    <w:p w14:paraId="616B5353" w14:textId="77777777" w:rsidR="00B67F7A" w:rsidRPr="00B67F7A" w:rsidRDefault="00EE4E87"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Turning back to the Joint Committee, my second line of argument was that section 15’s exclusion of disability contradicted the Trudeau government’s stated purpose for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as a whole.</w:t>
      </w:r>
      <w:r w:rsidR="00B67F7A" w:rsidRPr="00B67F7A">
        <w:rPr>
          <w:color w:val="222222"/>
          <w:sz w:val="24"/>
          <w:szCs w:val="24"/>
          <w:shd w:val="clear" w:color="auto" w:fill="FFFFFF"/>
          <w:vertAlign w:val="superscript"/>
          <w:lang w:val="en-CA"/>
        </w:rPr>
        <w:footnoteReference w:id="17"/>
      </w:r>
      <w:r w:rsidR="00B67F7A" w:rsidRPr="00B67F7A">
        <w:rPr>
          <w:color w:val="222222"/>
          <w:sz w:val="24"/>
          <w:szCs w:val="24"/>
          <w:shd w:val="clear" w:color="auto" w:fill="FFFFFF"/>
          <w:lang w:val="en-CA"/>
        </w:rPr>
        <w:t xml:space="preserve"> I contended that it was in effect beyond dispute that section 15, as it was then worded, does not guarantee equality for people with disabilities.</w:t>
      </w:r>
      <w:r w:rsidR="00B67F7A" w:rsidRPr="00B67F7A">
        <w:rPr>
          <w:color w:val="222222"/>
          <w:sz w:val="24"/>
          <w:szCs w:val="24"/>
          <w:shd w:val="clear" w:color="auto" w:fill="FFFFFF"/>
          <w:vertAlign w:val="superscript"/>
          <w:lang w:val="en-CA"/>
        </w:rPr>
        <w:footnoteReference w:id="18"/>
      </w:r>
      <w:r w:rsidR="00B67F7A" w:rsidRPr="00B67F7A">
        <w:rPr>
          <w:color w:val="222222"/>
          <w:sz w:val="24"/>
          <w:szCs w:val="24"/>
          <w:shd w:val="clear" w:color="auto" w:fill="FFFFFF"/>
          <w:lang w:val="en-CA"/>
        </w:rPr>
        <w:t xml:space="preserve"> I argued that this exclusion “perpetuates in our constitution an attitude which, as I have mentioned, is prevalent in society, some notion of handicapped people as second class citizens, people who need to be taken care of, not given independence, protected, not given the opportunity of equality.”</w:t>
      </w:r>
      <w:r w:rsidR="00B67F7A" w:rsidRPr="00B67F7A">
        <w:rPr>
          <w:color w:val="222222"/>
          <w:sz w:val="24"/>
          <w:szCs w:val="24"/>
          <w:shd w:val="clear" w:color="auto" w:fill="FFFFFF"/>
          <w:vertAlign w:val="superscript"/>
          <w:lang w:val="en-CA"/>
        </w:rPr>
        <w:footnoteReference w:id="19"/>
      </w:r>
      <w:r w:rsidR="00B67F7A" w:rsidRPr="00B67F7A">
        <w:rPr>
          <w:color w:val="222222"/>
          <w:sz w:val="24"/>
          <w:szCs w:val="24"/>
          <w:shd w:val="clear" w:color="auto" w:fill="FFFFFF"/>
          <w:lang w:val="en-CA"/>
        </w:rPr>
        <w:t xml:space="preserve"> I insisted that the only way for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to live up to its own stated intent was to pass the disability amendment. To support this, I contended that the government’s stated intention was that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would guarantee equality for all minorities. </w:t>
      </w:r>
    </w:p>
    <w:p w14:paraId="6D687ACE" w14:textId="77777777" w:rsidR="00B67F7A" w:rsidRPr="00B67F7A" w:rsidRDefault="00EE4E87"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In support, I referred to a statement by External Affairs Minister Mark MacGuigan.</w:t>
      </w:r>
      <w:r w:rsidR="00B67F7A" w:rsidRPr="00B67F7A">
        <w:rPr>
          <w:color w:val="222222"/>
          <w:sz w:val="24"/>
          <w:szCs w:val="24"/>
          <w:shd w:val="clear" w:color="auto" w:fill="FFFFFF"/>
          <w:vertAlign w:val="superscript"/>
          <w:lang w:val="en-CA"/>
        </w:rPr>
        <w:footnoteReference w:id="20"/>
      </w:r>
      <w:r w:rsidR="00B67F7A" w:rsidRPr="00B67F7A">
        <w:rPr>
          <w:color w:val="222222"/>
          <w:sz w:val="24"/>
          <w:szCs w:val="24"/>
          <w:shd w:val="clear" w:color="auto" w:fill="FFFFFF"/>
          <w:lang w:val="en-CA"/>
        </w:rPr>
        <w:t xml:space="preserve"> In Chapter 8, I described how I had questioned that minister weeks earlier when he spoke at Toronto’s Holy Blossom Temple. I told the Joint Committee that section 15, as it was then written, only guaranteed equality for some, not equality for all: “In other words, it involves equality for some; and equality for some, I submit, really means equality for none. It means that there are two levels in society, one level of people who are entitled to equality and one level who are not. And when you have two distinct classes such as that the term ‘equality’ has been stripped of its meaning and rendered more of an illusion.”</w:t>
      </w:r>
      <w:r w:rsidR="00B67F7A" w:rsidRPr="00B67F7A">
        <w:rPr>
          <w:color w:val="222222"/>
          <w:sz w:val="24"/>
          <w:szCs w:val="24"/>
          <w:shd w:val="clear" w:color="auto" w:fill="FFFFFF"/>
          <w:vertAlign w:val="superscript"/>
          <w:lang w:val="en-CA"/>
        </w:rPr>
        <w:footnoteReference w:id="21"/>
      </w:r>
      <w:r w:rsidR="00B67F7A" w:rsidRPr="00B67F7A">
        <w:rPr>
          <w:color w:val="222222"/>
          <w:sz w:val="24"/>
          <w:szCs w:val="24"/>
          <w:shd w:val="clear" w:color="auto" w:fill="FFFFFF"/>
          <w:lang w:val="en-CA"/>
        </w:rPr>
        <w:t xml:space="preserve"> I told the committee that MacGuigan had said a couple of weeks earlier, on the government’s behalf, that people with disabilities do not need a constitutional right to equality.</w:t>
      </w:r>
      <w:r w:rsidR="00B67F7A" w:rsidRPr="00B67F7A">
        <w:rPr>
          <w:color w:val="222222"/>
          <w:sz w:val="24"/>
          <w:szCs w:val="24"/>
          <w:shd w:val="clear" w:color="auto" w:fill="FFFFFF"/>
          <w:vertAlign w:val="superscript"/>
          <w:lang w:val="en-CA"/>
        </w:rPr>
        <w:footnoteReference w:id="22"/>
      </w:r>
      <w:r w:rsidR="00B67F7A" w:rsidRPr="00B67F7A">
        <w:rPr>
          <w:color w:val="222222"/>
          <w:sz w:val="24"/>
          <w:szCs w:val="24"/>
          <w:shd w:val="clear" w:color="auto" w:fill="FFFFFF"/>
          <w:lang w:val="en-CA"/>
        </w:rPr>
        <w:t xml:space="preserve"> I described in Chapter 8 how he had said this at Holy Blossom Temple in response to my question to him about the disability amendment at a Sunday morning brunch event. </w:t>
      </w:r>
    </w:p>
    <w:p w14:paraId="5C3C2101" w14:textId="77777777" w:rsidR="00B67F7A" w:rsidRPr="00B67F7A" w:rsidRDefault="00EE4E87"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Having set my target in front of the Joint Committee, I launched into my counter-attack. I listed for the Joint Committee several laws that discriminate because of disability, some of which I learned of for the first time during my panicked Quicklaw search two nights earlier.</w:t>
      </w:r>
      <w:r w:rsidR="00B67F7A" w:rsidRPr="00B67F7A">
        <w:rPr>
          <w:color w:val="222222"/>
          <w:sz w:val="24"/>
          <w:szCs w:val="24"/>
          <w:shd w:val="clear" w:color="auto" w:fill="FFFFFF"/>
          <w:vertAlign w:val="superscript"/>
          <w:lang w:val="en-CA"/>
        </w:rPr>
        <w:footnoteReference w:id="23"/>
      </w:r>
      <w:r w:rsidR="00B67F7A" w:rsidRPr="00B67F7A">
        <w:rPr>
          <w:color w:val="222222"/>
          <w:sz w:val="24"/>
          <w:szCs w:val="24"/>
          <w:shd w:val="clear" w:color="auto" w:fill="FFFFFF"/>
          <w:lang w:val="en-CA"/>
        </w:rPr>
        <w:t xml:space="preserve"> Referring to my earlier exchange with MacGuigan, I said: “[W]hen I pointed out certain things that I am about to point out to you, he explained that he had never heard of them before and would probably need to rethink the whole issue.”</w:t>
      </w:r>
      <w:r w:rsidR="00B67F7A" w:rsidRPr="00B67F7A">
        <w:rPr>
          <w:color w:val="222222"/>
          <w:sz w:val="24"/>
          <w:szCs w:val="24"/>
          <w:shd w:val="clear" w:color="auto" w:fill="FFFFFF"/>
          <w:vertAlign w:val="superscript"/>
          <w:lang w:val="en-CA"/>
        </w:rPr>
        <w:footnoteReference w:id="24"/>
      </w:r>
      <w:r w:rsidR="00B67F7A" w:rsidRPr="00B67F7A">
        <w:rPr>
          <w:color w:val="222222"/>
          <w:sz w:val="24"/>
          <w:szCs w:val="24"/>
          <w:shd w:val="clear" w:color="auto" w:fill="FFFFFF"/>
          <w:lang w:val="en-CA"/>
        </w:rPr>
        <w:t xml:space="preserve"> I gave six examples:</w:t>
      </w:r>
    </w:p>
    <w:p w14:paraId="09CAFA0F" w14:textId="77777777" w:rsidR="00B67F7A" w:rsidRPr="00B67F7A" w:rsidRDefault="00B67F7A" w:rsidP="00C54E8A">
      <w:pPr>
        <w:tabs>
          <w:tab w:val="left" w:pos="288"/>
        </w:tabs>
        <w:jc w:val="both"/>
        <w:rPr>
          <w:color w:val="222222"/>
          <w:sz w:val="24"/>
          <w:szCs w:val="24"/>
          <w:shd w:val="clear" w:color="auto" w:fill="FFFFFF"/>
          <w:lang w:val="en-CA"/>
        </w:rPr>
      </w:pPr>
    </w:p>
    <w:p w14:paraId="4AE7CAFE" w14:textId="77777777" w:rsidR="00B67F7A" w:rsidRPr="00B67F7A" w:rsidRDefault="00B67F7A" w:rsidP="00EE4E87">
      <w:pPr>
        <w:numPr>
          <w:ilvl w:val="0"/>
          <w:numId w:val="11"/>
        </w:numPr>
        <w:tabs>
          <w:tab w:val="left" w:pos="288"/>
        </w:tabs>
        <w:ind w:left="1080" w:right="720"/>
        <w:jc w:val="both"/>
        <w:rPr>
          <w:color w:val="222222"/>
          <w:sz w:val="24"/>
          <w:szCs w:val="24"/>
          <w:shd w:val="clear" w:color="auto" w:fill="FFFFFF"/>
          <w:lang w:val="en-CA"/>
        </w:rPr>
      </w:pPr>
      <w:r w:rsidRPr="00B67F7A">
        <w:rPr>
          <w:color w:val="222222"/>
          <w:sz w:val="24"/>
          <w:szCs w:val="24"/>
          <w:shd w:val="clear" w:color="auto" w:fill="FFFFFF"/>
          <w:lang w:val="en-CA"/>
        </w:rPr>
        <w:t>provincial minimum wage laws that let a government give an employer a license to pay people with disabilities less than the minimum wage, at times without requiring that government to give reasons;</w:t>
      </w:r>
      <w:r w:rsidRPr="00B67F7A">
        <w:rPr>
          <w:color w:val="222222"/>
          <w:sz w:val="24"/>
          <w:szCs w:val="24"/>
          <w:shd w:val="clear" w:color="auto" w:fill="FFFFFF"/>
          <w:vertAlign w:val="superscript"/>
          <w:lang w:val="en-CA"/>
        </w:rPr>
        <w:footnoteReference w:id="25"/>
      </w:r>
    </w:p>
    <w:p w14:paraId="39635F4B" w14:textId="77777777" w:rsidR="00B67F7A" w:rsidRPr="00B67F7A" w:rsidRDefault="00B67F7A" w:rsidP="00EE4E87">
      <w:pPr>
        <w:numPr>
          <w:ilvl w:val="0"/>
          <w:numId w:val="11"/>
        </w:numPr>
        <w:tabs>
          <w:tab w:val="left" w:pos="288"/>
        </w:tabs>
        <w:ind w:left="1080" w:right="720"/>
        <w:jc w:val="both"/>
        <w:rPr>
          <w:color w:val="222222"/>
          <w:sz w:val="24"/>
          <w:szCs w:val="24"/>
          <w:shd w:val="clear" w:color="auto" w:fill="FFFFFF"/>
          <w:lang w:val="en-CA"/>
        </w:rPr>
      </w:pPr>
      <w:r w:rsidRPr="00B67F7A">
        <w:rPr>
          <w:color w:val="222222"/>
          <w:sz w:val="24"/>
          <w:szCs w:val="24"/>
          <w:shd w:val="clear" w:color="auto" w:fill="FFFFFF"/>
          <w:lang w:val="en-CA"/>
        </w:rPr>
        <w:t xml:space="preserve">provincial jury legislation that categorically excludes blind persons from serving on a jury, </w:t>
      </w:r>
      <w:proofErr w:type="gramStart"/>
      <w:r w:rsidRPr="00B67F7A">
        <w:rPr>
          <w:color w:val="222222"/>
          <w:sz w:val="24"/>
          <w:szCs w:val="24"/>
          <w:shd w:val="clear" w:color="auto" w:fill="FFFFFF"/>
          <w:lang w:val="en-CA"/>
        </w:rPr>
        <w:t>whether or not</w:t>
      </w:r>
      <w:proofErr w:type="gramEnd"/>
      <w:r w:rsidRPr="00B67F7A">
        <w:rPr>
          <w:color w:val="222222"/>
          <w:sz w:val="24"/>
          <w:szCs w:val="24"/>
          <w:shd w:val="clear" w:color="auto" w:fill="FFFFFF"/>
          <w:lang w:val="en-CA"/>
        </w:rPr>
        <w:t xml:space="preserve"> vision is required to assess the case, even though “there are many cases where vision is not necessary and probably the lack of vision may be of benefit to a juror”;</w:t>
      </w:r>
      <w:r w:rsidRPr="00B67F7A">
        <w:rPr>
          <w:color w:val="222222"/>
          <w:sz w:val="24"/>
          <w:szCs w:val="24"/>
          <w:shd w:val="clear" w:color="auto" w:fill="FFFFFF"/>
          <w:vertAlign w:val="superscript"/>
          <w:lang w:val="en-CA"/>
        </w:rPr>
        <w:footnoteReference w:id="26"/>
      </w:r>
    </w:p>
    <w:p w14:paraId="344BA51A" w14:textId="77777777" w:rsidR="00B67F7A" w:rsidRPr="00B67F7A" w:rsidRDefault="00B67F7A" w:rsidP="00EE4E87">
      <w:pPr>
        <w:numPr>
          <w:ilvl w:val="0"/>
          <w:numId w:val="11"/>
        </w:numPr>
        <w:tabs>
          <w:tab w:val="left" w:pos="288"/>
        </w:tabs>
        <w:ind w:left="1080" w:right="720"/>
        <w:jc w:val="both"/>
        <w:rPr>
          <w:color w:val="222222"/>
          <w:sz w:val="24"/>
          <w:szCs w:val="24"/>
          <w:shd w:val="clear" w:color="auto" w:fill="FFFFFF"/>
          <w:lang w:val="en-CA"/>
        </w:rPr>
      </w:pPr>
      <w:r w:rsidRPr="00B67F7A">
        <w:rPr>
          <w:color w:val="222222"/>
          <w:sz w:val="24"/>
          <w:szCs w:val="24"/>
          <w:shd w:val="clear" w:color="auto" w:fill="FFFFFF"/>
          <w:lang w:val="en-CA"/>
        </w:rPr>
        <w:t>Ontario social assistance legislation that lets the government, by executive order, pay social assistance owing to certain people with disabilities living in institutions, to the head of the institution (this is not limited to situations where the social assistance recipient was incapable of managing their own affairs);</w:t>
      </w:r>
      <w:r w:rsidRPr="00B67F7A">
        <w:rPr>
          <w:color w:val="222222"/>
          <w:sz w:val="24"/>
          <w:szCs w:val="24"/>
          <w:shd w:val="clear" w:color="auto" w:fill="FFFFFF"/>
          <w:vertAlign w:val="superscript"/>
          <w:lang w:val="en-CA"/>
        </w:rPr>
        <w:footnoteReference w:id="27"/>
      </w:r>
    </w:p>
    <w:p w14:paraId="55099CA7" w14:textId="77777777" w:rsidR="00B67F7A" w:rsidRPr="00B67F7A" w:rsidRDefault="00B67F7A" w:rsidP="00EE4E87">
      <w:pPr>
        <w:numPr>
          <w:ilvl w:val="0"/>
          <w:numId w:val="11"/>
        </w:numPr>
        <w:tabs>
          <w:tab w:val="left" w:pos="288"/>
        </w:tabs>
        <w:ind w:left="1080" w:right="720"/>
        <w:jc w:val="both"/>
        <w:rPr>
          <w:color w:val="222222"/>
          <w:sz w:val="24"/>
          <w:szCs w:val="24"/>
          <w:shd w:val="clear" w:color="auto" w:fill="FFFFFF"/>
          <w:lang w:val="en-CA"/>
        </w:rPr>
      </w:pPr>
      <w:r w:rsidRPr="00B67F7A">
        <w:rPr>
          <w:color w:val="222222"/>
          <w:sz w:val="24"/>
          <w:szCs w:val="24"/>
          <w:shd w:val="clear" w:color="auto" w:fill="FFFFFF"/>
          <w:lang w:val="en-CA"/>
        </w:rPr>
        <w:t>Ontario’s education legislation that allows a student with a disability to be excluded from their local public school and provides only segregated education if the student cannot “profit from instruction”;</w:t>
      </w:r>
      <w:r w:rsidRPr="00B67F7A">
        <w:rPr>
          <w:color w:val="222222"/>
          <w:sz w:val="24"/>
          <w:szCs w:val="24"/>
          <w:shd w:val="clear" w:color="auto" w:fill="FFFFFF"/>
          <w:vertAlign w:val="superscript"/>
          <w:lang w:val="en-CA"/>
        </w:rPr>
        <w:footnoteReference w:id="28"/>
      </w:r>
    </w:p>
    <w:p w14:paraId="6CCB9413" w14:textId="77777777" w:rsidR="00B67F7A" w:rsidRPr="00B67F7A" w:rsidRDefault="00B67F7A" w:rsidP="00EE4E87">
      <w:pPr>
        <w:numPr>
          <w:ilvl w:val="0"/>
          <w:numId w:val="11"/>
        </w:numPr>
        <w:tabs>
          <w:tab w:val="left" w:pos="288"/>
        </w:tabs>
        <w:ind w:left="1080" w:right="720"/>
        <w:jc w:val="both"/>
        <w:rPr>
          <w:color w:val="222222"/>
          <w:sz w:val="24"/>
          <w:szCs w:val="24"/>
          <w:shd w:val="clear" w:color="auto" w:fill="FFFFFF"/>
          <w:lang w:val="en-CA"/>
        </w:rPr>
      </w:pPr>
      <w:r w:rsidRPr="00B67F7A">
        <w:rPr>
          <w:color w:val="222222"/>
          <w:sz w:val="24"/>
          <w:szCs w:val="24"/>
          <w:shd w:val="clear" w:color="auto" w:fill="FFFFFF"/>
          <w:lang w:val="en-CA"/>
        </w:rPr>
        <w:t>British Columbia’s school legislation, which categorically provides that certain people with disabilities who are totally and permanently disabled cannot be employed by their school board until they lose their disability;</w:t>
      </w:r>
      <w:r w:rsidRPr="00B67F7A">
        <w:rPr>
          <w:color w:val="222222"/>
          <w:sz w:val="24"/>
          <w:szCs w:val="24"/>
          <w:shd w:val="clear" w:color="auto" w:fill="FFFFFF"/>
          <w:vertAlign w:val="superscript"/>
          <w:lang w:val="en-CA"/>
        </w:rPr>
        <w:footnoteReference w:id="29"/>
      </w:r>
      <w:r w:rsidRPr="00B67F7A">
        <w:rPr>
          <w:color w:val="222222"/>
          <w:sz w:val="24"/>
          <w:szCs w:val="24"/>
          <w:shd w:val="clear" w:color="auto" w:fill="FFFFFF"/>
          <w:lang w:val="en-CA"/>
        </w:rPr>
        <w:t xml:space="preserve"> and</w:t>
      </w:r>
    </w:p>
    <w:p w14:paraId="58FC7BD6" w14:textId="77777777" w:rsidR="00B67F7A" w:rsidRPr="00B67F7A" w:rsidRDefault="00B67F7A" w:rsidP="00EE4E87">
      <w:pPr>
        <w:numPr>
          <w:ilvl w:val="0"/>
          <w:numId w:val="11"/>
        </w:numPr>
        <w:tabs>
          <w:tab w:val="left" w:pos="288"/>
        </w:tabs>
        <w:ind w:left="1080" w:right="720"/>
        <w:jc w:val="both"/>
        <w:rPr>
          <w:color w:val="222222"/>
          <w:sz w:val="24"/>
          <w:szCs w:val="24"/>
          <w:shd w:val="clear" w:color="auto" w:fill="FFFFFF"/>
          <w:lang w:val="en-CA"/>
        </w:rPr>
      </w:pPr>
      <w:r w:rsidRPr="00B67F7A">
        <w:rPr>
          <w:color w:val="222222"/>
          <w:sz w:val="24"/>
          <w:szCs w:val="24"/>
          <w:shd w:val="clear" w:color="auto" w:fill="FFFFFF"/>
          <w:lang w:val="en-CA"/>
        </w:rPr>
        <w:t>federal immigration legislation that imposes on a proposed immigrant with disabilities a higher burden to be allowed to immigrate to Canada. They must show that they will not present an excessive demand on health and social services.</w:t>
      </w:r>
      <w:r w:rsidRPr="00B67F7A">
        <w:rPr>
          <w:color w:val="222222"/>
          <w:sz w:val="24"/>
          <w:szCs w:val="24"/>
          <w:shd w:val="clear" w:color="auto" w:fill="FFFFFF"/>
          <w:vertAlign w:val="superscript"/>
          <w:lang w:val="en-CA"/>
        </w:rPr>
        <w:footnoteReference w:id="30"/>
      </w:r>
      <w:r w:rsidRPr="00B67F7A">
        <w:rPr>
          <w:color w:val="222222"/>
          <w:sz w:val="24"/>
          <w:szCs w:val="24"/>
          <w:shd w:val="clear" w:color="auto" w:fill="FFFFFF"/>
          <w:lang w:val="en-CA"/>
        </w:rPr>
        <w:t xml:space="preserve"> Ten years later, I would author a chapter of a book, in which I show how such legislation violates section 15 of the </w:t>
      </w:r>
      <w:r w:rsidRPr="00B67F7A">
        <w:rPr>
          <w:i/>
          <w:iCs/>
          <w:color w:val="222222"/>
          <w:sz w:val="24"/>
          <w:szCs w:val="24"/>
          <w:shd w:val="clear" w:color="auto" w:fill="FFFFFF"/>
          <w:lang w:val="en-CA"/>
        </w:rPr>
        <w:t>Charter</w:t>
      </w:r>
      <w:r w:rsidRPr="00B67F7A">
        <w:rPr>
          <w:color w:val="222222"/>
          <w:sz w:val="24"/>
          <w:szCs w:val="24"/>
          <w:shd w:val="clear" w:color="auto" w:fill="FFFFFF"/>
          <w:lang w:val="en-CA"/>
        </w:rPr>
        <w:t>.</w:t>
      </w:r>
      <w:r w:rsidRPr="00B67F7A">
        <w:rPr>
          <w:color w:val="222222"/>
          <w:sz w:val="24"/>
          <w:szCs w:val="24"/>
          <w:shd w:val="clear" w:color="auto" w:fill="FFFFFF"/>
          <w:vertAlign w:val="superscript"/>
          <w:lang w:val="en-CA"/>
        </w:rPr>
        <w:footnoteReference w:id="31"/>
      </w:r>
    </w:p>
    <w:p w14:paraId="69279FF9" w14:textId="77777777" w:rsidR="00B67F7A" w:rsidRPr="00B67F7A" w:rsidRDefault="00B67F7A" w:rsidP="00C54E8A">
      <w:pPr>
        <w:tabs>
          <w:tab w:val="left" w:pos="288"/>
        </w:tabs>
        <w:jc w:val="both"/>
        <w:rPr>
          <w:color w:val="222222"/>
          <w:sz w:val="24"/>
          <w:szCs w:val="24"/>
          <w:shd w:val="clear" w:color="auto" w:fill="FFFFFF"/>
          <w:lang w:val="en-CA"/>
        </w:rPr>
      </w:pPr>
    </w:p>
    <w:p w14:paraId="30310E7E"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I explained that each of these laws discriminates because of disability and that their very existence refutes MacGuigan’s claims,</w:t>
      </w:r>
      <w:r w:rsidRPr="00B67F7A">
        <w:rPr>
          <w:color w:val="222222"/>
          <w:sz w:val="24"/>
          <w:szCs w:val="24"/>
          <w:shd w:val="clear" w:color="auto" w:fill="FFFFFF"/>
          <w:vertAlign w:val="superscript"/>
          <w:lang w:val="en-CA"/>
        </w:rPr>
        <w:footnoteReference w:id="32"/>
      </w:r>
      <w:r w:rsidRPr="00B67F7A">
        <w:rPr>
          <w:color w:val="222222"/>
          <w:sz w:val="24"/>
          <w:szCs w:val="24"/>
          <w:shd w:val="clear" w:color="auto" w:fill="FFFFFF"/>
          <w:lang w:val="en-CA"/>
        </w:rPr>
        <w:t xml:space="preserve"> concluding: “This is evidence of how the legislatures have taken care of handicapped rights to equality.”</w:t>
      </w:r>
      <w:r w:rsidRPr="00B67F7A">
        <w:rPr>
          <w:color w:val="222222"/>
          <w:sz w:val="24"/>
          <w:szCs w:val="24"/>
          <w:shd w:val="clear" w:color="auto" w:fill="FFFFFF"/>
          <w:vertAlign w:val="superscript"/>
          <w:lang w:val="en-CA"/>
        </w:rPr>
        <w:footnoteReference w:id="33"/>
      </w:r>
    </w:p>
    <w:p w14:paraId="6505B4FD" w14:textId="77777777" w:rsidR="00B67F7A" w:rsidRPr="00B67F7A" w:rsidRDefault="00B67F7A" w:rsidP="00C54E8A">
      <w:pPr>
        <w:tabs>
          <w:tab w:val="left" w:pos="288"/>
        </w:tabs>
        <w:jc w:val="both"/>
        <w:rPr>
          <w:color w:val="222222"/>
          <w:sz w:val="24"/>
          <w:szCs w:val="24"/>
          <w:shd w:val="clear" w:color="auto" w:fill="FFFFFF"/>
          <w:lang w:val="en-CA"/>
        </w:rPr>
      </w:pPr>
    </w:p>
    <w:p w14:paraId="26FD371D" w14:textId="77777777" w:rsidR="00B67F7A" w:rsidRPr="00EE4E87" w:rsidRDefault="00EE4E87" w:rsidP="00291786">
      <w:pPr>
        <w:pStyle w:val="Heading2"/>
      </w:pPr>
      <w:bookmarkStart w:id="13" w:name="_heading=h.4du1wux" w:colFirst="0" w:colLast="0"/>
      <w:bookmarkStart w:id="14" w:name="_Toc132577037"/>
      <w:bookmarkEnd w:id="13"/>
      <w:r w:rsidRPr="00EE4E87">
        <w:t xml:space="preserve">E. My Third Argument: People </w:t>
      </w:r>
      <w:r>
        <w:t>w</w:t>
      </w:r>
      <w:r w:rsidRPr="00EE4E87">
        <w:t>ith Disabilities Are A Large Minority</w:t>
      </w:r>
      <w:bookmarkEnd w:id="14"/>
    </w:p>
    <w:p w14:paraId="5B3807E9" w14:textId="77777777" w:rsidR="00B67F7A" w:rsidRPr="00B67F7A" w:rsidRDefault="00EE4E87"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My third line of argument was that people with disabilities are a large minority. I argued that some say we comprise one in ten people.</w:t>
      </w:r>
      <w:r w:rsidR="00B67F7A" w:rsidRPr="00B67F7A">
        <w:rPr>
          <w:color w:val="222222"/>
          <w:sz w:val="24"/>
          <w:szCs w:val="24"/>
          <w:shd w:val="clear" w:color="auto" w:fill="FFFFFF"/>
          <w:vertAlign w:val="superscript"/>
          <w:lang w:val="en-CA"/>
        </w:rPr>
        <w:footnoteReference w:id="34"/>
      </w:r>
      <w:r w:rsidR="00B67F7A" w:rsidRPr="00B67F7A">
        <w:rPr>
          <w:color w:val="222222"/>
          <w:sz w:val="24"/>
          <w:szCs w:val="24"/>
          <w:shd w:val="clear" w:color="auto" w:fill="FFFFFF"/>
          <w:lang w:val="en-CA"/>
        </w:rPr>
        <w:t xml:space="preserve"> That number seemed huge back then. Now, it is small compared to our </w:t>
      </w:r>
      <w:r w:rsidR="00B67F7A" w:rsidRPr="00B67F7A">
        <w:rPr>
          <w:color w:val="222222"/>
          <w:sz w:val="24"/>
          <w:szCs w:val="24"/>
          <w:shd w:val="clear" w:color="auto" w:fill="FFFFFF"/>
          <w:lang w:val="en-CA"/>
        </w:rPr>
        <w:lastRenderedPageBreak/>
        <w:t>present numbers, which are closer to one in five, based on government statistics.</w:t>
      </w:r>
      <w:r w:rsidR="00B67F7A" w:rsidRPr="00B67F7A">
        <w:rPr>
          <w:color w:val="222222"/>
          <w:sz w:val="24"/>
          <w:szCs w:val="24"/>
          <w:shd w:val="clear" w:color="auto" w:fill="FFFFFF"/>
          <w:vertAlign w:val="superscript"/>
          <w:lang w:val="en-CA"/>
        </w:rPr>
        <w:footnoteReference w:id="35"/>
      </w:r>
      <w:r w:rsidR="00B67F7A" w:rsidRPr="00B67F7A">
        <w:rPr>
          <w:color w:val="222222"/>
          <w:sz w:val="24"/>
          <w:szCs w:val="24"/>
          <w:shd w:val="clear" w:color="auto" w:fill="FFFFFF"/>
          <w:lang w:val="en-CA"/>
        </w:rPr>
        <w:t xml:space="preserve"> In 1980, I did not use one of the strongest arguments I now use in virtually every speech I give on disability equality: people with disabilities are the minority of everyone! Everyone either has a disability now or gets one later as they age. That zinger would have strengthened my case before the Joint Committee. </w:t>
      </w:r>
    </w:p>
    <w:p w14:paraId="0F944E37" w14:textId="77777777" w:rsidR="00B67F7A" w:rsidRDefault="00B67F7A" w:rsidP="00C54E8A">
      <w:pPr>
        <w:tabs>
          <w:tab w:val="left" w:pos="288"/>
        </w:tabs>
        <w:jc w:val="both"/>
        <w:rPr>
          <w:color w:val="222222"/>
          <w:sz w:val="24"/>
          <w:szCs w:val="24"/>
          <w:shd w:val="clear" w:color="auto" w:fill="FFFFFF"/>
          <w:lang w:val="en-CA"/>
        </w:rPr>
      </w:pPr>
    </w:p>
    <w:p w14:paraId="47893BEB" w14:textId="77777777" w:rsidR="00AA1C0A" w:rsidRPr="00B67F7A" w:rsidRDefault="00AA1C0A" w:rsidP="00C54E8A">
      <w:pPr>
        <w:tabs>
          <w:tab w:val="left" w:pos="288"/>
        </w:tabs>
        <w:jc w:val="both"/>
        <w:rPr>
          <w:color w:val="222222"/>
          <w:sz w:val="24"/>
          <w:szCs w:val="24"/>
          <w:shd w:val="clear" w:color="auto" w:fill="FFFFFF"/>
          <w:lang w:val="en-CA"/>
        </w:rPr>
      </w:pPr>
    </w:p>
    <w:p w14:paraId="76CC7917" w14:textId="77777777" w:rsidR="00B67F7A" w:rsidRPr="00AA1C0A" w:rsidRDefault="004A2E54" w:rsidP="00291786">
      <w:pPr>
        <w:pStyle w:val="Heading2"/>
      </w:pPr>
      <w:bookmarkStart w:id="15" w:name="_heading=h.2szc72q" w:colFirst="0" w:colLast="0"/>
      <w:bookmarkStart w:id="16" w:name="_Toc132577038"/>
      <w:bookmarkEnd w:id="15"/>
      <w:r w:rsidRPr="00AA1C0A">
        <w:t xml:space="preserve">F. My Fourth Argument: Definitional Concerns Are No Reason </w:t>
      </w:r>
      <w:r w:rsidR="00AA1C0A">
        <w:t>t</w:t>
      </w:r>
      <w:r w:rsidRPr="00AA1C0A">
        <w:t xml:space="preserve">o Reject </w:t>
      </w:r>
      <w:r w:rsidR="00AA1C0A">
        <w:t>t</w:t>
      </w:r>
      <w:r w:rsidRPr="00AA1C0A">
        <w:t>he Disability Amendment</w:t>
      </w:r>
      <w:bookmarkEnd w:id="16"/>
    </w:p>
    <w:p w14:paraId="1D4E5594" w14:textId="77777777" w:rsidR="00B67F7A" w:rsidRPr="00B67F7A" w:rsidRDefault="00AA1C0A"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then turned from making the case for the disability amendment to refuting the real or imagined arguments against us.</w:t>
      </w:r>
      <w:r w:rsidR="00B67F7A" w:rsidRPr="00B67F7A">
        <w:rPr>
          <w:color w:val="222222"/>
          <w:sz w:val="24"/>
          <w:szCs w:val="24"/>
          <w:shd w:val="clear" w:color="auto" w:fill="FFFFFF"/>
          <w:vertAlign w:val="superscript"/>
          <w:lang w:val="en-CA"/>
        </w:rPr>
        <w:footnoteReference w:id="36"/>
      </w:r>
      <w:r w:rsidR="00B67F7A" w:rsidRPr="00B67F7A">
        <w:rPr>
          <w:color w:val="222222"/>
          <w:sz w:val="24"/>
          <w:szCs w:val="24"/>
          <w:shd w:val="clear" w:color="auto" w:fill="FFFFFF"/>
          <w:lang w:val="en-CA"/>
        </w:rPr>
        <w:t xml:space="preserve"> I always use this approach and strongly recommend it. I first take the high ground, showing why our position is right, before demonstrating why an opponent’s contrary position is wrong. I always want my audience to immediately start to think through an issue in accordance with my approach to it. I then try to convince my audience that my opponent’s reasoning is flawed. I do not want to let my opponent’s arguments define the terms of the debate or to dominate how decision-makers think through an issue. </w:t>
      </w:r>
    </w:p>
    <w:p w14:paraId="6135C9BC" w14:textId="77777777" w:rsidR="00B67F7A" w:rsidRPr="00B67F7A" w:rsidRDefault="00AA1C0A"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The first argument against us that I addressed was the claim that it was hard to define “disability” or “handicap.” I told the Joint Committee that the government, and, possibly, Justice Minister Jean Chrétien, argued that we should not pass the disability amendment because it is hard to define disability. I said that the justice minister had argued that we should wait until we can formulate a disability definition and later ask for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to be amended sometime in the future once the Constitution has been patriated.</w:t>
      </w:r>
      <w:r w:rsidR="00B67F7A" w:rsidRPr="00B67F7A">
        <w:rPr>
          <w:color w:val="222222"/>
          <w:sz w:val="24"/>
          <w:szCs w:val="24"/>
          <w:shd w:val="clear" w:color="auto" w:fill="FFFFFF"/>
          <w:vertAlign w:val="superscript"/>
          <w:lang w:val="en-CA"/>
        </w:rPr>
        <w:footnoteReference w:id="37"/>
      </w:r>
      <w:r w:rsidR="00B67F7A" w:rsidRPr="00B67F7A">
        <w:rPr>
          <w:color w:val="222222"/>
          <w:sz w:val="24"/>
          <w:szCs w:val="24"/>
          <w:shd w:val="clear" w:color="auto" w:fill="FFFFFF"/>
          <w:lang w:val="en-CA"/>
        </w:rPr>
        <w:t xml:space="preserve"> I cannot remember how I had learned that the government was making this argument. I countered with three points to refute that contention. First, I argued that some legislation had successfully defined disability and that other laws had not needed or “bothered” to include any definition of it. I offered to supply the committee with examples if they needed any. I felt very comfortable with this issue.</w:t>
      </w:r>
      <w:r w:rsidR="00B67F7A" w:rsidRPr="00B67F7A">
        <w:rPr>
          <w:color w:val="222222"/>
          <w:sz w:val="24"/>
          <w:szCs w:val="24"/>
          <w:shd w:val="clear" w:color="auto" w:fill="FFFFFF"/>
          <w:vertAlign w:val="superscript"/>
          <w:lang w:val="en-CA"/>
        </w:rPr>
        <w:footnoteReference w:id="38"/>
      </w:r>
      <w:r w:rsidR="00B67F7A" w:rsidRPr="00B67F7A">
        <w:rPr>
          <w:color w:val="222222"/>
          <w:sz w:val="24"/>
          <w:szCs w:val="24"/>
          <w:shd w:val="clear" w:color="auto" w:fill="FFFFFF"/>
          <w:lang w:val="en-CA"/>
        </w:rPr>
        <w:t xml:space="preserve"> I had done volunteer work for the Ontario Coalition for Human Rights for the Handicapped earlier that year, drafting a proposed disability definition to incorporate into the Ontario </w:t>
      </w:r>
      <w:r w:rsidR="00B67F7A" w:rsidRPr="00B67F7A">
        <w:rPr>
          <w:i/>
          <w:iCs/>
          <w:color w:val="222222"/>
          <w:sz w:val="24"/>
          <w:szCs w:val="24"/>
          <w:shd w:val="clear" w:color="auto" w:fill="FFFFFF"/>
          <w:lang w:val="en-CA"/>
        </w:rPr>
        <w:t>Human Rights Code</w:t>
      </w:r>
      <w:r w:rsidR="00B67F7A" w:rsidRPr="00B67F7A">
        <w:rPr>
          <w:color w:val="222222"/>
          <w:sz w:val="24"/>
          <w:szCs w:val="24"/>
          <w:shd w:val="clear" w:color="auto" w:fill="FFFFFF"/>
          <w:lang w:val="en-CA"/>
        </w:rPr>
        <w:t xml:space="preserve">. </w:t>
      </w:r>
    </w:p>
    <w:p w14:paraId="67890943" w14:textId="77777777" w:rsidR="00B67F7A" w:rsidRPr="00B67F7A" w:rsidRDefault="00AA1C0A"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Second, I argued that the burdensome constitutional amending formula was not a practical option for people with disabilities, who often live below the poverty line, and for the limited resources of the non-profit charitable organizations that serve them.</w:t>
      </w:r>
      <w:r w:rsidR="00B67F7A" w:rsidRPr="00B67F7A">
        <w:rPr>
          <w:color w:val="222222"/>
          <w:sz w:val="24"/>
          <w:szCs w:val="24"/>
          <w:shd w:val="clear" w:color="auto" w:fill="FFFFFF"/>
          <w:vertAlign w:val="superscript"/>
          <w:lang w:val="en-CA"/>
        </w:rPr>
        <w:footnoteReference w:id="39"/>
      </w:r>
      <w:r w:rsidR="00B67F7A" w:rsidRPr="00B67F7A">
        <w:rPr>
          <w:color w:val="222222"/>
          <w:sz w:val="24"/>
          <w:szCs w:val="24"/>
          <w:shd w:val="clear" w:color="auto" w:fill="FFFFFF"/>
          <w:lang w:val="en-CA"/>
        </w:rPr>
        <w:t xml:space="preserve"> Third, I contended that the Constitution as written and with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added has any number of undefined and more vague terms.</w:t>
      </w:r>
      <w:r w:rsidR="00B67F7A" w:rsidRPr="00B67F7A">
        <w:rPr>
          <w:color w:val="222222"/>
          <w:sz w:val="24"/>
          <w:szCs w:val="24"/>
          <w:shd w:val="clear" w:color="auto" w:fill="FFFFFF"/>
          <w:vertAlign w:val="superscript"/>
          <w:lang w:val="en-CA"/>
        </w:rPr>
        <w:t xml:space="preserve"> </w:t>
      </w:r>
      <w:r w:rsidR="00B67F7A" w:rsidRPr="00B67F7A">
        <w:rPr>
          <w:color w:val="222222"/>
          <w:sz w:val="24"/>
          <w:szCs w:val="24"/>
          <w:shd w:val="clear" w:color="auto" w:fill="FFFFFF"/>
          <w:vertAlign w:val="superscript"/>
          <w:lang w:val="en-CA"/>
        </w:rPr>
        <w:footnoteReference w:id="40"/>
      </w:r>
      <w:r w:rsidR="00B67F7A" w:rsidRPr="00B67F7A">
        <w:rPr>
          <w:color w:val="222222"/>
          <w:sz w:val="24"/>
          <w:szCs w:val="24"/>
          <w:shd w:val="clear" w:color="auto" w:fill="FFFFFF"/>
          <w:lang w:val="en-CA"/>
        </w:rPr>
        <w:t xml:space="preserve"> I pointed to the term “religion” in section 15 and the term “reasonable limits” in section 1. Dredging up joyful memories of my first-year law school constitutional law course, I pointed to the amorphous term “criminal law” in section 91 of the </w:t>
      </w:r>
      <w:r w:rsidR="00B67F7A" w:rsidRPr="00B67F7A">
        <w:rPr>
          <w:i/>
          <w:iCs/>
          <w:color w:val="222222"/>
          <w:sz w:val="24"/>
          <w:szCs w:val="24"/>
          <w:shd w:val="clear" w:color="auto" w:fill="FFFFFF"/>
          <w:lang w:val="en-CA"/>
        </w:rPr>
        <w:t>British North America Act 1867</w:t>
      </w:r>
      <w:r w:rsidR="00B67F7A" w:rsidRPr="00B67F7A">
        <w:rPr>
          <w:color w:val="222222"/>
          <w:sz w:val="24"/>
          <w:szCs w:val="24"/>
          <w:shd w:val="clear" w:color="auto" w:fill="FFFFFF"/>
          <w:lang w:val="en-CA"/>
        </w:rPr>
        <w:t>, over which courts had wrestled for a century.</w:t>
      </w:r>
      <w:r w:rsidR="00B67F7A" w:rsidRPr="00B67F7A">
        <w:rPr>
          <w:color w:val="222222"/>
          <w:sz w:val="24"/>
          <w:szCs w:val="24"/>
          <w:shd w:val="clear" w:color="auto" w:fill="FFFFFF"/>
          <w:vertAlign w:val="superscript"/>
          <w:lang w:val="en-CA"/>
        </w:rPr>
        <w:footnoteReference w:id="41"/>
      </w:r>
      <w:r w:rsidR="00B67F7A" w:rsidRPr="00B67F7A">
        <w:rPr>
          <w:color w:val="222222"/>
          <w:sz w:val="24"/>
          <w:szCs w:val="24"/>
          <w:shd w:val="clear" w:color="auto" w:fill="FFFFFF"/>
          <w:lang w:val="en-CA"/>
        </w:rPr>
        <w:t xml:space="preserve"> </w:t>
      </w:r>
    </w:p>
    <w:p w14:paraId="0F3532A0" w14:textId="77777777" w:rsidR="00B67F7A" w:rsidRDefault="00B67F7A" w:rsidP="00C54E8A">
      <w:pPr>
        <w:tabs>
          <w:tab w:val="left" w:pos="288"/>
        </w:tabs>
        <w:jc w:val="both"/>
        <w:rPr>
          <w:color w:val="222222"/>
          <w:sz w:val="24"/>
          <w:szCs w:val="24"/>
          <w:shd w:val="clear" w:color="auto" w:fill="FFFFFF"/>
          <w:lang w:val="en-CA"/>
        </w:rPr>
      </w:pPr>
    </w:p>
    <w:p w14:paraId="06E3CB17" w14:textId="77777777" w:rsidR="005B57F0" w:rsidRPr="00B67F7A" w:rsidRDefault="005B57F0" w:rsidP="00C54E8A">
      <w:pPr>
        <w:tabs>
          <w:tab w:val="left" w:pos="288"/>
        </w:tabs>
        <w:jc w:val="both"/>
        <w:rPr>
          <w:color w:val="222222"/>
          <w:sz w:val="24"/>
          <w:szCs w:val="24"/>
          <w:shd w:val="clear" w:color="auto" w:fill="FFFFFF"/>
          <w:lang w:val="en-CA"/>
        </w:rPr>
      </w:pPr>
    </w:p>
    <w:p w14:paraId="6BF2F636" w14:textId="77777777" w:rsidR="00B67F7A" w:rsidRPr="00814C60" w:rsidRDefault="00814C60" w:rsidP="00291786">
      <w:pPr>
        <w:pStyle w:val="Heading2"/>
      </w:pPr>
      <w:bookmarkStart w:id="17" w:name="_heading=h.184mhaj" w:colFirst="0" w:colLast="0"/>
      <w:bookmarkStart w:id="18" w:name="_Toc132577039"/>
      <w:bookmarkEnd w:id="17"/>
      <w:r w:rsidRPr="00814C60">
        <w:lastRenderedPageBreak/>
        <w:t xml:space="preserve">G. My Fifth Argument: Costs Are No Reason </w:t>
      </w:r>
      <w:r>
        <w:t>t</w:t>
      </w:r>
      <w:r w:rsidRPr="00814C60">
        <w:t xml:space="preserve">o Exclude Equality </w:t>
      </w:r>
      <w:r>
        <w:t>f</w:t>
      </w:r>
      <w:r w:rsidRPr="00814C60">
        <w:t xml:space="preserve">or People </w:t>
      </w:r>
      <w:r>
        <w:t>w</w:t>
      </w:r>
      <w:r w:rsidRPr="00814C60">
        <w:t>ith Disabilities</w:t>
      </w:r>
      <w:bookmarkEnd w:id="18"/>
    </w:p>
    <w:p w14:paraId="62DC730C"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My fifth line of argument was to refute any thought that the disability amendment should be rejected because it was too costly.</w:t>
      </w:r>
      <w:r w:rsidR="00B67F7A" w:rsidRPr="00B67F7A">
        <w:rPr>
          <w:color w:val="222222"/>
          <w:sz w:val="24"/>
          <w:szCs w:val="24"/>
          <w:shd w:val="clear" w:color="auto" w:fill="FFFFFF"/>
          <w:vertAlign w:val="superscript"/>
          <w:lang w:val="en-CA"/>
        </w:rPr>
        <w:footnoteReference w:id="42"/>
      </w:r>
      <w:r w:rsidR="00B67F7A" w:rsidRPr="00B67F7A">
        <w:rPr>
          <w:color w:val="222222"/>
          <w:sz w:val="24"/>
          <w:szCs w:val="24"/>
          <w:shd w:val="clear" w:color="auto" w:fill="FFFFFF"/>
          <w:lang w:val="en-CA"/>
        </w:rPr>
        <w:t xml:space="preserve"> I did not attribute this argument to anyone, but I figured from all my experience to date that it was lurking somewhere out there. I questioned what those costs would be and whether they would be excessive. I was skeptical that there would be too many such costs.</w:t>
      </w:r>
      <w:r w:rsidR="00B67F7A" w:rsidRPr="00B67F7A">
        <w:rPr>
          <w:color w:val="222222"/>
          <w:sz w:val="24"/>
          <w:szCs w:val="24"/>
          <w:shd w:val="clear" w:color="auto" w:fill="FFFFFF"/>
          <w:vertAlign w:val="superscript"/>
          <w:lang w:val="en-CA"/>
        </w:rPr>
        <w:footnoteReference w:id="43"/>
      </w:r>
      <w:r w:rsidR="00B67F7A" w:rsidRPr="00B67F7A">
        <w:rPr>
          <w:color w:val="222222"/>
          <w:sz w:val="24"/>
          <w:szCs w:val="24"/>
          <w:shd w:val="clear" w:color="auto" w:fill="FFFFFF"/>
          <w:lang w:val="en-CA"/>
        </w:rPr>
        <w:t xml:space="preserve"> I questioned whether the government had costed each of the other new rights in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w:t>
      </w:r>
      <w:r w:rsidR="00B67F7A" w:rsidRPr="00B67F7A">
        <w:rPr>
          <w:color w:val="222222"/>
          <w:sz w:val="24"/>
          <w:szCs w:val="24"/>
          <w:shd w:val="clear" w:color="auto" w:fill="FFFFFF"/>
          <w:vertAlign w:val="superscript"/>
          <w:lang w:val="en-CA"/>
        </w:rPr>
        <w:footnoteReference w:id="44"/>
      </w:r>
      <w:r w:rsidR="00B67F7A" w:rsidRPr="00B67F7A">
        <w:rPr>
          <w:color w:val="222222"/>
          <w:sz w:val="24"/>
          <w:szCs w:val="24"/>
          <w:shd w:val="clear" w:color="auto" w:fill="FFFFFF"/>
          <w:lang w:val="en-CA"/>
        </w:rPr>
        <w:t xml:space="preserve"> As I think now about that argument, I should have invited the Joint Committee to ponder more specifically the price tag for other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rights. A barrage of examples would have driven my point home more effectively. For example, police and prosecutors have had to make major changes now that accused persons have a constitutional protection against unreasonable search and seizure. </w:t>
      </w:r>
    </w:p>
    <w:p w14:paraId="3E366FE5"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pushed back that to selectively hold cost against people with disabilities is inherently discriminatory.</w:t>
      </w:r>
      <w:r w:rsidR="00B67F7A" w:rsidRPr="00B67F7A">
        <w:rPr>
          <w:color w:val="222222"/>
          <w:sz w:val="24"/>
          <w:szCs w:val="24"/>
          <w:shd w:val="clear" w:color="auto" w:fill="FFFFFF"/>
          <w:vertAlign w:val="superscript"/>
          <w:lang w:val="en-CA"/>
        </w:rPr>
        <w:footnoteReference w:id="45"/>
      </w:r>
      <w:r w:rsidR="00B67F7A" w:rsidRPr="00B67F7A">
        <w:rPr>
          <w:color w:val="222222"/>
          <w:sz w:val="24"/>
          <w:szCs w:val="24"/>
          <w:shd w:val="clear" w:color="auto" w:fill="FFFFFF"/>
          <w:lang w:val="en-CA"/>
        </w:rPr>
        <w:t xml:space="preserve"> I should have bluntly added that no one asked how much it would cost to guarantee equality to women, religious minorities, or racialized communities. Nor, of course, should they. This is simply the price of democracy. I argued that such a cost argument wrongly presupposes that equality for people with disabilities is the lowest of every governmental spending priority: “To say that the cost is too excessive is to assume that handicap inclusion is the absolute lowest priority of every government in Canada, that we have spent every last dollar of revenue we have taxed and collected and that there is no money left.”</w:t>
      </w:r>
      <w:r w:rsidR="00B67F7A" w:rsidRPr="00B67F7A">
        <w:rPr>
          <w:color w:val="222222"/>
          <w:sz w:val="24"/>
          <w:szCs w:val="24"/>
          <w:shd w:val="clear" w:color="auto" w:fill="FFFFFF"/>
          <w:vertAlign w:val="superscript"/>
          <w:lang w:val="en-CA"/>
        </w:rPr>
        <w:footnoteReference w:id="46"/>
      </w:r>
    </w:p>
    <w:p w14:paraId="496F8A8B"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have learned over and over throughout my decades of disability advocacy that cost is often a major instinctive, knee-jerk, ill-reasoned, or unreasoned obstacle when one advocates for reforms to promote equality for people with disabilities. Too many still harbour a built-in stereotype that disability equality must cost a great deal. This assumes that we cannot do very much unless a lot of money is spent to enable us to fully participate. It tends to start from the presumption that spending that money to include us is just not worth it unless we can show otherwise. Since that day four decades ago, I have found that concerns about cost are raised even when it is transparently obvious that they are not relevant. For example, I had to fight a long battle and two human rights cases against the Toronto Transit Commission (TTC) between 1994 and 2007 to get the TTC to consistently and reliably announce each subway, bus, and streetcar stop so that blind people like me could know when we have arrived at our desired destination.</w:t>
      </w:r>
      <w:r w:rsidR="00B67F7A" w:rsidRPr="00B67F7A">
        <w:rPr>
          <w:color w:val="222222"/>
          <w:sz w:val="24"/>
          <w:szCs w:val="24"/>
          <w:shd w:val="clear" w:color="auto" w:fill="FFFFFF"/>
          <w:vertAlign w:val="superscript"/>
          <w:lang w:val="en-CA"/>
        </w:rPr>
        <w:footnoteReference w:id="47"/>
      </w:r>
      <w:r w:rsidR="00B67F7A" w:rsidRPr="00B67F7A">
        <w:rPr>
          <w:color w:val="222222"/>
          <w:sz w:val="24"/>
          <w:szCs w:val="24"/>
          <w:shd w:val="clear" w:color="auto" w:fill="FFFFFF"/>
          <w:lang w:val="en-CA"/>
        </w:rPr>
        <w:t xml:space="preserve"> In the midst of that battle, a senior staff TTC lawyer once told me that their resistance was due to the cost of providing the stop announcements.</w:t>
      </w:r>
    </w:p>
    <w:p w14:paraId="5722D4FB"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In fact, it costs absolutely nothing for a subway crew or a bus or streetcar driver to use their mouth and the pre-existing public address system to announce each route stop. Each driver has a mouth and, hopefully, knows where they are. The TTC never argued at the Human Rights Tribunal of Ontario that costs were a reason for failing to consistently deliver route stop announcements. The TTC’s piles of mandatory documentary disclosures did not show that cost was ever a factor in their decisions against me. Yet the senior TTC lawyer with whom I had been chatting no doubt just assumed that that was the case, </w:t>
      </w:r>
      <w:r w:rsidR="00B67F7A" w:rsidRPr="00B67F7A">
        <w:rPr>
          <w:color w:val="222222"/>
          <w:sz w:val="24"/>
          <w:szCs w:val="24"/>
          <w:shd w:val="clear" w:color="auto" w:fill="FFFFFF"/>
          <w:lang w:val="en-CA"/>
        </w:rPr>
        <w:lastRenderedPageBreak/>
        <w:t>exemplifying this deep-rooted and unfair stereotype. What did cost the TTC a great deal was the $450,000 of public money they wastefully spent on lawyers to fight against my two successful human rights claims.</w:t>
      </w:r>
      <w:r w:rsidR="00B67F7A" w:rsidRPr="00B67F7A">
        <w:rPr>
          <w:color w:val="222222"/>
          <w:sz w:val="24"/>
          <w:szCs w:val="24"/>
          <w:shd w:val="clear" w:color="auto" w:fill="FFFFFF"/>
          <w:vertAlign w:val="superscript"/>
          <w:lang w:val="en-CA"/>
        </w:rPr>
        <w:footnoteReference w:id="48"/>
      </w:r>
    </w:p>
    <w:p w14:paraId="6E517CE5"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Were I before the Joint Committee today, I would make additional arguments to oppose the cost concern. I did not think of them in December 1980. I would add that the costs of removing and preventing barriers against people with disabilities have many collateral benefits. When a restaurant installs a ramp at its front entrance to replace a step or two, it makes the restaurant accessible to customers with disabilities. It also makes the restaurant accessible to customers with a baby stroller or shopping cart. The restaurant will make money </w:t>
      </w:r>
      <w:proofErr w:type="gramStart"/>
      <w:r w:rsidR="00B67F7A" w:rsidRPr="00B67F7A">
        <w:rPr>
          <w:color w:val="222222"/>
          <w:sz w:val="24"/>
          <w:szCs w:val="24"/>
          <w:shd w:val="clear" w:color="auto" w:fill="FFFFFF"/>
          <w:lang w:val="en-CA"/>
        </w:rPr>
        <w:t>as a result of</w:t>
      </w:r>
      <w:proofErr w:type="gramEnd"/>
      <w:r w:rsidR="00B67F7A" w:rsidRPr="00B67F7A">
        <w:rPr>
          <w:color w:val="222222"/>
          <w:sz w:val="24"/>
          <w:szCs w:val="24"/>
          <w:shd w:val="clear" w:color="auto" w:fill="FFFFFF"/>
          <w:lang w:val="en-CA"/>
        </w:rPr>
        <w:t xml:space="preserve"> installing that ramp. It will lose those customers’ business if it does not fix that barrier. I would also add that we need equality for people with disabilities not only to remove existing barriers but also to prevent the creation of new ones. Preventing barriers costs little or nothing. To allow the creation of new barriers costs the public a great deal. That is because it triggers the entirely avoidable cost of later having to remove those barriers.</w:t>
      </w:r>
    </w:p>
    <w:p w14:paraId="4731439E" w14:textId="77777777" w:rsidR="00B67F7A" w:rsidRPr="00B67F7A" w:rsidRDefault="00B67F7A" w:rsidP="00C54E8A">
      <w:pPr>
        <w:tabs>
          <w:tab w:val="left" w:pos="288"/>
        </w:tabs>
        <w:jc w:val="both"/>
        <w:rPr>
          <w:color w:val="222222"/>
          <w:sz w:val="24"/>
          <w:szCs w:val="24"/>
          <w:shd w:val="clear" w:color="auto" w:fill="FFFFFF"/>
          <w:lang w:val="en-CA"/>
        </w:rPr>
      </w:pPr>
    </w:p>
    <w:p w14:paraId="47FBE9ED" w14:textId="77777777" w:rsidR="00B67F7A" w:rsidRPr="00814C60" w:rsidRDefault="00814C60" w:rsidP="00291786">
      <w:pPr>
        <w:pStyle w:val="Heading2"/>
      </w:pPr>
      <w:bookmarkStart w:id="19" w:name="_heading=h.3s49zyc" w:colFirst="0" w:colLast="0"/>
      <w:bookmarkStart w:id="20" w:name="_Toc132577040"/>
      <w:bookmarkEnd w:id="19"/>
      <w:r w:rsidRPr="00814C60">
        <w:t xml:space="preserve">H. My Sixth Argument: Do Not Strip </w:t>
      </w:r>
      <w:r>
        <w:t>f</w:t>
      </w:r>
      <w:r w:rsidRPr="00814C60">
        <w:t xml:space="preserve">rom Section 15 Any List </w:t>
      </w:r>
      <w:r>
        <w:t>o</w:t>
      </w:r>
      <w:r w:rsidRPr="00814C60">
        <w:t>f Protected Grounds</w:t>
      </w:r>
      <w:bookmarkEnd w:id="20"/>
    </w:p>
    <w:p w14:paraId="264A07A9"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 was alive to the serious problem, explained in </w:t>
      </w:r>
      <w:r w:rsidR="005B57F0">
        <w:rPr>
          <w:color w:val="222222"/>
          <w:sz w:val="24"/>
          <w:szCs w:val="24"/>
          <w:shd w:val="clear" w:color="auto" w:fill="FFFFFF"/>
          <w:lang w:val="en-CA"/>
        </w:rPr>
        <w:t>section XI</w:t>
      </w:r>
      <w:r w:rsidR="00B67F7A" w:rsidRPr="00B67F7A">
        <w:rPr>
          <w:color w:val="222222"/>
          <w:sz w:val="24"/>
          <w:szCs w:val="24"/>
          <w:shd w:val="clear" w:color="auto" w:fill="FFFFFF"/>
          <w:lang w:val="en-CA"/>
        </w:rPr>
        <w:t xml:space="preserve"> that some organizations had called on the Joint Committee to strip from section 15 any list of prohibited grounds of discrimination so that the provision would simply guarantee a right to equality. I told the Joint Committee that this would be preferable to the original text of section 15 (which locked out people with disabilities).</w:t>
      </w:r>
      <w:r w:rsidR="00B67F7A" w:rsidRPr="00B67F7A">
        <w:rPr>
          <w:color w:val="222222"/>
          <w:sz w:val="24"/>
          <w:szCs w:val="24"/>
          <w:shd w:val="clear" w:color="auto" w:fill="FFFFFF"/>
          <w:vertAlign w:val="superscript"/>
          <w:lang w:val="en-CA"/>
        </w:rPr>
        <w:footnoteReference w:id="49"/>
      </w:r>
      <w:r w:rsidR="00B67F7A" w:rsidRPr="00B67F7A">
        <w:rPr>
          <w:color w:val="222222"/>
          <w:sz w:val="24"/>
          <w:szCs w:val="24"/>
          <w:shd w:val="clear" w:color="auto" w:fill="FFFFFF"/>
          <w:lang w:val="en-CA"/>
        </w:rPr>
        <w:t xml:space="preserve"> However, we otherwise opposed that option because we had no assurance that the courts would interpret such a provision as including equality for people with disabilities. I pointed to the courts’ restrictive approach when it came to equality issues as well as disability issues.</w:t>
      </w:r>
      <w:r w:rsidR="00B67F7A" w:rsidRPr="00B67F7A">
        <w:rPr>
          <w:color w:val="222222"/>
          <w:sz w:val="24"/>
          <w:szCs w:val="24"/>
          <w:shd w:val="clear" w:color="auto" w:fill="FFFFFF"/>
          <w:vertAlign w:val="superscript"/>
          <w:lang w:val="en-CA"/>
        </w:rPr>
        <w:footnoteReference w:id="50"/>
      </w:r>
      <w:r w:rsidR="00B67F7A" w:rsidRPr="00B67F7A">
        <w:rPr>
          <w:color w:val="222222"/>
          <w:sz w:val="24"/>
          <w:szCs w:val="24"/>
          <w:shd w:val="clear" w:color="auto" w:fill="FFFFFF"/>
          <w:lang w:val="en-CA"/>
        </w:rPr>
        <w:t xml:space="preserve"> I added that it would cost thousands of dollars to take the case all the way to the Supreme Court of Canada just to achieve this goal: “So the only way of guaranteeing our rights is by including us.”</w:t>
      </w:r>
      <w:r w:rsidR="00B67F7A" w:rsidRPr="00B67F7A">
        <w:rPr>
          <w:color w:val="222222"/>
          <w:sz w:val="24"/>
          <w:szCs w:val="24"/>
          <w:shd w:val="clear" w:color="auto" w:fill="FFFFFF"/>
          <w:vertAlign w:val="superscript"/>
          <w:lang w:val="en-CA"/>
        </w:rPr>
        <w:footnoteReference w:id="51"/>
      </w:r>
    </w:p>
    <w:p w14:paraId="01149AB7"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At the Joint Committee, I did not present an additional argument about which I knew nothing at that time and which I discussed in </w:t>
      </w:r>
      <w:r w:rsidR="005B57F0">
        <w:rPr>
          <w:color w:val="222222"/>
          <w:sz w:val="24"/>
          <w:szCs w:val="24"/>
          <w:shd w:val="clear" w:color="auto" w:fill="FFFFFF"/>
          <w:lang w:val="en-CA"/>
        </w:rPr>
        <w:t>section XI</w:t>
      </w:r>
      <w:r w:rsidR="00B67F7A" w:rsidRPr="00B67F7A">
        <w:rPr>
          <w:color w:val="222222"/>
          <w:sz w:val="24"/>
          <w:szCs w:val="24"/>
          <w:shd w:val="clear" w:color="auto" w:fill="FFFFFF"/>
          <w:lang w:val="en-CA"/>
        </w:rPr>
        <w:t>. An open-ended section 15 that does not enumerate human rights-based grounds of discrimination upon which it is meant to focus could steer section 15 far away from egalitarian principles.</w:t>
      </w:r>
    </w:p>
    <w:p w14:paraId="0E801A6D" w14:textId="77777777" w:rsidR="00B67F7A" w:rsidRPr="00B67F7A" w:rsidRDefault="00B67F7A" w:rsidP="00C54E8A">
      <w:pPr>
        <w:tabs>
          <w:tab w:val="left" w:pos="288"/>
        </w:tabs>
        <w:jc w:val="both"/>
        <w:rPr>
          <w:color w:val="222222"/>
          <w:sz w:val="24"/>
          <w:szCs w:val="24"/>
          <w:shd w:val="clear" w:color="auto" w:fill="FFFFFF"/>
          <w:lang w:val="en-CA"/>
        </w:rPr>
      </w:pPr>
    </w:p>
    <w:p w14:paraId="63828710" w14:textId="77777777" w:rsidR="00B67F7A" w:rsidRPr="00814C60" w:rsidRDefault="00814C60" w:rsidP="00291786">
      <w:pPr>
        <w:pStyle w:val="Heading2"/>
      </w:pPr>
      <w:bookmarkStart w:id="21" w:name="_heading=h.279ka65" w:colFirst="0" w:colLast="0"/>
      <w:bookmarkStart w:id="22" w:name="_Toc132577041"/>
      <w:bookmarkEnd w:id="21"/>
      <w:r w:rsidRPr="00814C60">
        <w:t xml:space="preserve">I. My Seventh Argument: Make </w:t>
      </w:r>
      <w:r>
        <w:t>t</w:t>
      </w:r>
      <w:r w:rsidRPr="00814C60">
        <w:t xml:space="preserve">he List </w:t>
      </w:r>
      <w:r>
        <w:t>o</w:t>
      </w:r>
      <w:r w:rsidRPr="00814C60">
        <w:t xml:space="preserve">f Prohibited Grounds </w:t>
      </w:r>
      <w:r>
        <w:t>o</w:t>
      </w:r>
      <w:r w:rsidRPr="00814C60">
        <w:t>f Discrimination Non-Exhaustive</w:t>
      </w:r>
      <w:bookmarkEnd w:id="22"/>
    </w:p>
    <w:p w14:paraId="21845063"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Beyond the disability amendment, I argued for four additional revisions to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’s wording in section 15 and elsewhere. First, I asked for section 15(1) to be revised to guarantee equality before the law without unreasonable discrimination or without unreasonable distinction. I said it should provide “unreasonable discrimination meaning without restricting the generality of the foregoing” to be followed by a non-exhaustive list of prohibited grounds of discrimination.</w:t>
      </w:r>
      <w:r w:rsidR="00B67F7A" w:rsidRPr="00B67F7A">
        <w:rPr>
          <w:color w:val="222222"/>
          <w:sz w:val="24"/>
          <w:szCs w:val="24"/>
          <w:shd w:val="clear" w:color="auto" w:fill="FFFFFF"/>
          <w:vertAlign w:val="superscript"/>
          <w:lang w:val="en-CA"/>
        </w:rPr>
        <w:footnoteReference w:id="52"/>
      </w:r>
      <w:r w:rsidR="00B67F7A" w:rsidRPr="00B67F7A">
        <w:rPr>
          <w:color w:val="222222"/>
          <w:sz w:val="24"/>
          <w:szCs w:val="24"/>
          <w:shd w:val="clear" w:color="auto" w:fill="FFFFFF"/>
          <w:lang w:val="en-CA"/>
        </w:rPr>
        <w:t xml:space="preserve"> This shows that I was alive to the need to expand section 15 so that its list of prohibited grounds could be judicially expanded, even if the </w:t>
      </w:r>
      <w:r w:rsidR="00B67F7A" w:rsidRPr="00B67F7A">
        <w:rPr>
          <w:color w:val="222222"/>
          <w:sz w:val="24"/>
          <w:szCs w:val="24"/>
          <w:shd w:val="clear" w:color="auto" w:fill="FFFFFF"/>
          <w:lang w:val="en-CA"/>
        </w:rPr>
        <w:lastRenderedPageBreak/>
        <w:t>disability amendment was explicitly incorporated into section 15. I argued: “[I]f an equality clause is truly to give us equality, it must give us equality with all others. And that is the way to do it.”</w:t>
      </w:r>
      <w:r w:rsidR="00B67F7A" w:rsidRPr="00B67F7A">
        <w:rPr>
          <w:color w:val="222222"/>
          <w:sz w:val="24"/>
          <w:szCs w:val="24"/>
          <w:shd w:val="clear" w:color="auto" w:fill="FFFFFF"/>
          <w:vertAlign w:val="superscript"/>
          <w:lang w:val="en-CA"/>
        </w:rPr>
        <w:footnoteReference w:id="53"/>
      </w:r>
      <w:r w:rsidR="00B67F7A" w:rsidRPr="00B67F7A">
        <w:rPr>
          <w:color w:val="222222"/>
          <w:sz w:val="24"/>
          <w:szCs w:val="24"/>
          <w:shd w:val="clear" w:color="auto" w:fill="FFFFFF"/>
          <w:lang w:val="en-CA"/>
        </w:rPr>
        <w:t xml:space="preserve"> I did not make the point during my presentation to the Joint Committee that my proposed wording was far preferable to the troubling hierarchical approach to equality that at least two women’s organizations had requested, which I explored earlier in Chapter 11. I was aware of the danger that their argument posed for us. On the other hand, I was then oblivious to the fact that “unreasonable distinction” or “unreasonable discrimination” risked delivering protection that was too weak for equality of any sort. That understanding would have to wait until my graduate law studies at Harvard in the following year, if not longer.</w:t>
      </w:r>
    </w:p>
    <w:p w14:paraId="6C0CA068" w14:textId="77777777" w:rsidR="00B67F7A" w:rsidRPr="00B67F7A" w:rsidRDefault="00B67F7A" w:rsidP="00C54E8A">
      <w:pPr>
        <w:tabs>
          <w:tab w:val="left" w:pos="288"/>
        </w:tabs>
        <w:jc w:val="both"/>
        <w:rPr>
          <w:color w:val="222222"/>
          <w:sz w:val="24"/>
          <w:szCs w:val="24"/>
          <w:shd w:val="clear" w:color="auto" w:fill="FFFFFF"/>
          <w:lang w:val="en-CA"/>
        </w:rPr>
      </w:pPr>
    </w:p>
    <w:p w14:paraId="3B72A9B2" w14:textId="77777777" w:rsidR="00B67F7A" w:rsidRPr="00814C60" w:rsidRDefault="00814C60" w:rsidP="00291786">
      <w:pPr>
        <w:pStyle w:val="Heading2"/>
      </w:pPr>
      <w:bookmarkStart w:id="23" w:name="_heading=h.meukdy" w:colFirst="0" w:colLast="0"/>
      <w:bookmarkStart w:id="24" w:name="_Toc132577042"/>
      <w:bookmarkEnd w:id="23"/>
      <w:r w:rsidRPr="00814C60">
        <w:t xml:space="preserve">J. My Eighth Argument: Strengthen </w:t>
      </w:r>
      <w:r>
        <w:t>the</w:t>
      </w:r>
      <w:r w:rsidRPr="00814C60">
        <w:t xml:space="preserve"> Guarantee </w:t>
      </w:r>
      <w:r>
        <w:t>o</w:t>
      </w:r>
      <w:r w:rsidRPr="00814C60">
        <w:t xml:space="preserve">f Equality </w:t>
      </w:r>
      <w:r>
        <w:t>i</w:t>
      </w:r>
      <w:r w:rsidRPr="00814C60">
        <w:t>n Section 15</w:t>
      </w:r>
      <w:bookmarkEnd w:id="24"/>
    </w:p>
    <w:p w14:paraId="38E4EB81"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 added the CNIB’s voice to the other organizations that asked the Joint Committee to strengthen the way in which section 15 expresses the right to equality.</w:t>
      </w:r>
      <w:r w:rsidR="00B67F7A" w:rsidRPr="00B67F7A">
        <w:rPr>
          <w:color w:val="222222"/>
          <w:sz w:val="24"/>
          <w:szCs w:val="24"/>
          <w:shd w:val="clear" w:color="auto" w:fill="FFFFFF"/>
          <w:vertAlign w:val="superscript"/>
          <w:lang w:val="en-CA"/>
        </w:rPr>
        <w:footnoteReference w:id="54"/>
      </w:r>
      <w:r w:rsidR="00B67F7A" w:rsidRPr="00B67F7A">
        <w:rPr>
          <w:color w:val="222222"/>
          <w:sz w:val="24"/>
          <w:szCs w:val="24"/>
          <w:shd w:val="clear" w:color="auto" w:fill="FFFFFF"/>
          <w:lang w:val="en-CA"/>
        </w:rPr>
        <w:t xml:space="preserve"> We all said one way or another that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’s wording must deliver a loud, clear, and unmistakable message to Canada’s courts if the courts are to overcome their reluctance to implement egalitarian principles.</w:t>
      </w:r>
      <w:r w:rsidR="00B67F7A" w:rsidRPr="00B67F7A">
        <w:rPr>
          <w:color w:val="222222"/>
          <w:sz w:val="24"/>
          <w:szCs w:val="24"/>
          <w:shd w:val="clear" w:color="auto" w:fill="FFFFFF"/>
          <w:vertAlign w:val="superscript"/>
          <w:lang w:val="en-CA"/>
        </w:rPr>
        <w:footnoteReference w:id="55"/>
      </w:r>
      <w:r w:rsidR="00B67F7A" w:rsidRPr="00B67F7A">
        <w:rPr>
          <w:color w:val="222222"/>
          <w:sz w:val="24"/>
          <w:szCs w:val="24"/>
          <w:shd w:val="clear" w:color="auto" w:fill="FFFFFF"/>
          <w:lang w:val="en-CA"/>
        </w:rPr>
        <w:t xml:space="preserve"> However, I missed a good opportunity by not serving up to the Joint Committee a helping of specific wording to achieve this goal. What happened to my strong belief that, as a community advocate, you must do the detail work for decision-makers? We were all correct to worry in 1980 that Canada’s courts were not prepared to vigorously enforce civil liberties guarantees. This concern has been reduced since then. We owe a huge debt of gratitude to the Supreme Court of Canada’s Chief Justice Brian Dickson for his years of dedicated leadership during the years after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’s enactment. He signalled in the earliest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decisions that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is to be liberally and vigorously interpreted and enforced.</w:t>
      </w:r>
      <w:r w:rsidR="00B67F7A" w:rsidRPr="00B67F7A">
        <w:rPr>
          <w:color w:val="222222"/>
          <w:sz w:val="24"/>
          <w:szCs w:val="24"/>
          <w:shd w:val="clear" w:color="auto" w:fill="FFFFFF"/>
          <w:vertAlign w:val="superscript"/>
          <w:lang w:val="en-CA"/>
        </w:rPr>
        <w:footnoteReference w:id="56"/>
      </w:r>
      <w:r w:rsidR="00B67F7A" w:rsidRPr="00B67F7A">
        <w:rPr>
          <w:color w:val="222222"/>
          <w:sz w:val="24"/>
          <w:szCs w:val="24"/>
          <w:shd w:val="clear" w:color="auto" w:fill="FFFFFF"/>
          <w:lang w:val="en-CA"/>
        </w:rPr>
        <w:t xml:space="preserve"> </w:t>
      </w:r>
    </w:p>
    <w:p w14:paraId="412B8589" w14:textId="77777777" w:rsidR="00B67F7A" w:rsidRPr="00B67F7A" w:rsidRDefault="00B67F7A" w:rsidP="00C54E8A">
      <w:pPr>
        <w:tabs>
          <w:tab w:val="left" w:pos="288"/>
        </w:tabs>
        <w:jc w:val="both"/>
        <w:rPr>
          <w:color w:val="222222"/>
          <w:sz w:val="24"/>
          <w:szCs w:val="24"/>
          <w:shd w:val="clear" w:color="auto" w:fill="FFFFFF"/>
          <w:lang w:val="en-CA"/>
        </w:rPr>
      </w:pPr>
    </w:p>
    <w:p w14:paraId="3DAEB229" w14:textId="77777777" w:rsidR="00B67F7A" w:rsidRPr="00814C60" w:rsidRDefault="00814C60" w:rsidP="00291786">
      <w:pPr>
        <w:pStyle w:val="Heading2"/>
      </w:pPr>
      <w:bookmarkStart w:id="25" w:name="_heading=h.36ei31r" w:colFirst="0" w:colLast="0"/>
      <w:bookmarkStart w:id="26" w:name="_Toc132577043"/>
      <w:bookmarkEnd w:id="25"/>
      <w:r w:rsidRPr="00814C60">
        <w:t>K. My Ninth Argument: Rein in The Sweeping Defence That Section 1 Affords Government</w:t>
      </w:r>
      <w:bookmarkEnd w:id="26"/>
    </w:p>
    <w:p w14:paraId="71F59D1E"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My ninth line of argument was to press the Joint Committee to reduce the overbroad defence that section 1 of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gave governments.</w:t>
      </w:r>
      <w:r w:rsidR="00B67F7A" w:rsidRPr="00B67F7A">
        <w:rPr>
          <w:color w:val="222222"/>
          <w:sz w:val="24"/>
          <w:szCs w:val="24"/>
          <w:shd w:val="clear" w:color="auto" w:fill="FFFFFF"/>
          <w:vertAlign w:val="superscript"/>
          <w:lang w:val="en-CA"/>
        </w:rPr>
        <w:footnoteReference w:id="57"/>
      </w:r>
      <w:r w:rsidR="00B67F7A" w:rsidRPr="00B67F7A">
        <w:rPr>
          <w:color w:val="222222"/>
          <w:sz w:val="24"/>
          <w:szCs w:val="24"/>
          <w:shd w:val="clear" w:color="auto" w:fill="FFFFFF"/>
          <w:lang w:val="en-CA"/>
        </w:rPr>
        <w:t xml:space="preserve"> It would let a government off the hook if it showed that a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violation was a reasonable limit on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right, which is justified in a free and democratic society with a parliamentary system of government. I said that it “makes the rest of the </w:t>
      </w:r>
      <w:r w:rsidR="00B67F7A" w:rsidRPr="00B67F7A">
        <w:rPr>
          <w:i/>
          <w:iCs/>
          <w:color w:val="222222"/>
          <w:sz w:val="24"/>
          <w:szCs w:val="24"/>
          <w:shd w:val="clear" w:color="auto" w:fill="FFFFFF"/>
          <w:lang w:val="en-CA"/>
        </w:rPr>
        <w:t>Charter of Rights</w:t>
      </w:r>
      <w:r w:rsidR="00B67F7A" w:rsidRPr="00B67F7A">
        <w:rPr>
          <w:color w:val="222222"/>
          <w:sz w:val="24"/>
          <w:szCs w:val="24"/>
          <w:shd w:val="clear" w:color="auto" w:fill="FFFFFF"/>
          <w:lang w:val="en-CA"/>
        </w:rPr>
        <w:t xml:space="preserve"> a virtually worthless and impotent means of protecting civil liberties.”</w:t>
      </w:r>
      <w:r w:rsidR="00B67F7A" w:rsidRPr="00B67F7A">
        <w:rPr>
          <w:color w:val="222222"/>
          <w:sz w:val="24"/>
          <w:szCs w:val="24"/>
          <w:shd w:val="clear" w:color="auto" w:fill="FFFFFF"/>
          <w:vertAlign w:val="superscript"/>
          <w:lang w:val="en-CA"/>
        </w:rPr>
        <w:footnoteReference w:id="58"/>
      </w:r>
      <w:r w:rsidR="00B67F7A" w:rsidRPr="00B67F7A">
        <w:rPr>
          <w:color w:val="222222"/>
          <w:sz w:val="24"/>
          <w:szCs w:val="24"/>
          <w:shd w:val="clear" w:color="auto" w:fill="FFFFFF"/>
          <w:lang w:val="en-CA"/>
        </w:rPr>
        <w:t xml:space="preserve"> I, like others, called section 1 the “Mack truck” provision because it created a loophole that was so massive that a government could drive a Mack truck through it.</w:t>
      </w:r>
      <w:r w:rsidR="00B67F7A" w:rsidRPr="00B67F7A">
        <w:rPr>
          <w:color w:val="222222"/>
          <w:sz w:val="24"/>
          <w:szCs w:val="24"/>
          <w:shd w:val="clear" w:color="auto" w:fill="FFFFFF"/>
          <w:vertAlign w:val="superscript"/>
          <w:lang w:val="en-CA"/>
        </w:rPr>
        <w:footnoteReference w:id="59"/>
      </w:r>
      <w:r w:rsidR="00B67F7A" w:rsidRPr="00B67F7A">
        <w:rPr>
          <w:color w:val="222222"/>
          <w:sz w:val="24"/>
          <w:szCs w:val="24"/>
          <w:shd w:val="clear" w:color="auto" w:fill="FFFFFF"/>
          <w:lang w:val="en-CA"/>
        </w:rPr>
        <w:t xml:space="preserve"> I argued that governments could well justify the discriminatory laws I had earlier outlined as “generally accepted,” relying on the pervasive public belief that people with disabilities “are often not capable of taking care of themselves, not capable of maintaining a job, not capable of self-sufficiency.”</w:t>
      </w:r>
      <w:r w:rsidR="00B67F7A" w:rsidRPr="00B67F7A">
        <w:rPr>
          <w:color w:val="222222"/>
          <w:sz w:val="24"/>
          <w:szCs w:val="24"/>
          <w:shd w:val="clear" w:color="auto" w:fill="FFFFFF"/>
          <w:vertAlign w:val="superscript"/>
          <w:lang w:val="en-CA"/>
        </w:rPr>
        <w:footnoteReference w:id="60"/>
      </w:r>
      <w:r w:rsidR="00B67F7A" w:rsidRPr="00B67F7A">
        <w:rPr>
          <w:color w:val="222222"/>
          <w:sz w:val="24"/>
          <w:szCs w:val="24"/>
          <w:shd w:val="clear" w:color="auto" w:fill="FFFFFF"/>
          <w:lang w:val="en-CA"/>
        </w:rPr>
        <w:t xml:space="preserve"> </w:t>
      </w:r>
    </w:p>
    <w:p w14:paraId="76997A03"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lastRenderedPageBreak/>
        <w:tab/>
      </w:r>
      <w:r w:rsidR="00B67F7A" w:rsidRPr="00B67F7A">
        <w:rPr>
          <w:color w:val="222222"/>
          <w:sz w:val="24"/>
          <w:szCs w:val="24"/>
          <w:shd w:val="clear" w:color="auto" w:fill="FFFFFF"/>
          <w:lang w:val="en-CA"/>
        </w:rPr>
        <w:t xml:space="preserve">I proposed that section 1 should not apply to sections 14 or 15 of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w:t>
      </w:r>
      <w:r w:rsidR="00B67F7A" w:rsidRPr="00B67F7A">
        <w:rPr>
          <w:color w:val="222222"/>
          <w:sz w:val="24"/>
          <w:szCs w:val="24"/>
          <w:shd w:val="clear" w:color="auto" w:fill="FFFFFF"/>
          <w:vertAlign w:val="superscript"/>
          <w:lang w:val="en-CA"/>
        </w:rPr>
        <w:footnoteReference w:id="61"/>
      </w:r>
      <w:r w:rsidR="00B67F7A" w:rsidRPr="00B67F7A">
        <w:rPr>
          <w:color w:val="222222"/>
          <w:sz w:val="24"/>
          <w:szCs w:val="24"/>
          <w:shd w:val="clear" w:color="auto" w:fill="FFFFFF"/>
          <w:lang w:val="en-CA"/>
        </w:rPr>
        <w:t xml:space="preserve"> Section 14, as amended, ensures that a person involved in a legal proceeding has the right to an interpreter, if needed. The Joint Committee was later to amend section 14 to include deaf people.</w:t>
      </w:r>
      <w:r w:rsidR="00B67F7A" w:rsidRPr="00B67F7A">
        <w:rPr>
          <w:color w:val="222222"/>
          <w:sz w:val="24"/>
          <w:szCs w:val="24"/>
          <w:shd w:val="clear" w:color="auto" w:fill="FFFFFF"/>
          <w:vertAlign w:val="superscript"/>
          <w:lang w:val="en-CA"/>
        </w:rPr>
        <w:footnoteReference w:id="62"/>
      </w:r>
      <w:r w:rsidR="00B67F7A" w:rsidRPr="00B67F7A">
        <w:rPr>
          <w:color w:val="222222"/>
          <w:sz w:val="24"/>
          <w:szCs w:val="24"/>
          <w:shd w:val="clear" w:color="auto" w:fill="FFFFFF"/>
          <w:lang w:val="en-CA"/>
        </w:rPr>
        <w:t xml:space="preserve"> I submitted: “[T]here should be no circumstances where the right to an interpreter, which a deaf-blind or just a deaf person may require in court, should ever be taken away. Why is it either in war or emergency that a deaf-blind person on trial should be denied an interpreter to know what the case is against them. It is too basic and a denial of natural justice.”</w:t>
      </w:r>
      <w:r w:rsidR="00B67F7A" w:rsidRPr="00B67F7A">
        <w:rPr>
          <w:color w:val="222222"/>
          <w:sz w:val="24"/>
          <w:szCs w:val="24"/>
          <w:shd w:val="clear" w:color="auto" w:fill="FFFFFF"/>
          <w:vertAlign w:val="superscript"/>
          <w:lang w:val="en-CA"/>
        </w:rPr>
        <w:footnoteReference w:id="63"/>
      </w:r>
    </w:p>
    <w:p w14:paraId="78EAB781" w14:textId="77777777" w:rsidR="00B67F7A" w:rsidRPr="00B67F7A" w:rsidRDefault="00B67F7A" w:rsidP="00C54E8A">
      <w:pPr>
        <w:tabs>
          <w:tab w:val="left" w:pos="288"/>
        </w:tabs>
        <w:jc w:val="both"/>
        <w:rPr>
          <w:color w:val="222222"/>
          <w:sz w:val="24"/>
          <w:szCs w:val="24"/>
          <w:shd w:val="clear" w:color="auto" w:fill="FFFFFF"/>
          <w:lang w:val="en-CA"/>
        </w:rPr>
      </w:pPr>
    </w:p>
    <w:p w14:paraId="5F8EB7CA" w14:textId="77777777" w:rsidR="00B67F7A" w:rsidRPr="00814C60" w:rsidRDefault="00814C60" w:rsidP="00291786">
      <w:pPr>
        <w:pStyle w:val="Heading2"/>
      </w:pPr>
      <w:bookmarkStart w:id="27" w:name="_heading=h.1ljsd9k" w:colFirst="0" w:colLast="0"/>
      <w:bookmarkStart w:id="28" w:name="_Toc132577044"/>
      <w:bookmarkEnd w:id="27"/>
      <w:r w:rsidRPr="00814C60">
        <w:t>L. My Tenth Argument: Do Not Delay Equality Rights</w:t>
      </w:r>
      <w:bookmarkEnd w:id="28"/>
    </w:p>
    <w:p w14:paraId="012D97D4"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The original text of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delayed section 15’s equality rights from coming into force for three years.</w:t>
      </w:r>
      <w:r w:rsidR="00B67F7A" w:rsidRPr="00B67F7A">
        <w:rPr>
          <w:color w:val="222222"/>
          <w:sz w:val="24"/>
          <w:szCs w:val="24"/>
          <w:shd w:val="clear" w:color="auto" w:fill="FFFFFF"/>
          <w:vertAlign w:val="superscript"/>
          <w:lang w:val="en-CA"/>
        </w:rPr>
        <w:footnoteReference w:id="64"/>
      </w:r>
      <w:r w:rsidR="00B67F7A" w:rsidRPr="00B67F7A">
        <w:rPr>
          <w:color w:val="222222"/>
          <w:sz w:val="24"/>
          <w:szCs w:val="24"/>
          <w:shd w:val="clear" w:color="auto" w:fill="FFFFFF"/>
          <w:lang w:val="en-CA"/>
        </w:rPr>
        <w:t xml:space="preserve"> I argued that there was no good reason for equality rights to be delayed: “If anything, they should be accelerated.”</w:t>
      </w:r>
      <w:r w:rsidR="00B67F7A" w:rsidRPr="00B67F7A">
        <w:rPr>
          <w:color w:val="222222"/>
          <w:sz w:val="24"/>
          <w:szCs w:val="24"/>
          <w:shd w:val="clear" w:color="auto" w:fill="FFFFFF"/>
          <w:vertAlign w:val="superscript"/>
          <w:lang w:val="en-CA"/>
        </w:rPr>
        <w:footnoteReference w:id="65"/>
      </w:r>
      <w:r w:rsidR="00B67F7A" w:rsidRPr="00B67F7A">
        <w:rPr>
          <w:color w:val="222222"/>
          <w:sz w:val="24"/>
          <w:szCs w:val="24"/>
          <w:shd w:val="clear" w:color="auto" w:fill="FFFFFF"/>
          <w:lang w:val="en-CA"/>
        </w:rPr>
        <w:t xml:space="preserve"> Looking back now, I understand why it made sense for me to pitch that argument. However, it was an unrealistic one. The federal government was correct to see that all governments would need three years to bring themselves into compliance with section 15. Sadly, however, governments did too little from 1982 to 1985 or since then to achieve this, insofar as things like equality rights for people with disabilities is concerned.</w:t>
      </w:r>
    </w:p>
    <w:p w14:paraId="4D265284" w14:textId="77777777" w:rsidR="00B67F7A" w:rsidRPr="00B67F7A" w:rsidRDefault="00B67F7A" w:rsidP="00C54E8A">
      <w:pPr>
        <w:tabs>
          <w:tab w:val="left" w:pos="288"/>
        </w:tabs>
        <w:jc w:val="both"/>
        <w:rPr>
          <w:color w:val="222222"/>
          <w:sz w:val="24"/>
          <w:szCs w:val="24"/>
          <w:shd w:val="clear" w:color="auto" w:fill="FFFFFF"/>
          <w:lang w:val="en-CA"/>
        </w:rPr>
      </w:pPr>
    </w:p>
    <w:p w14:paraId="52387C20" w14:textId="77777777" w:rsidR="00B67F7A" w:rsidRPr="00814C60" w:rsidRDefault="00814C60" w:rsidP="00291786">
      <w:pPr>
        <w:pStyle w:val="Heading2"/>
      </w:pPr>
      <w:bookmarkStart w:id="29" w:name="_heading=h.45jfvxd" w:colFirst="0" w:colLast="0"/>
      <w:bookmarkStart w:id="30" w:name="_Toc132577045"/>
      <w:bookmarkEnd w:id="29"/>
      <w:r w:rsidRPr="00814C60">
        <w:t>M. My Closer</w:t>
      </w:r>
      <w:bookmarkEnd w:id="30"/>
    </w:p>
    <w:p w14:paraId="5BFECBB0" w14:textId="77777777" w:rsidR="00B67F7A" w:rsidRPr="00B67F7A" w:rsidRDefault="00814C6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Winding up, I warned that, if the disability amendment was not passed, there would be two harms. It would be unfair to people with disabilities. It would also mislead the public into thinking that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guarantees equality for all and protects all minorities when it did not.</w:t>
      </w:r>
      <w:r w:rsidR="00B67F7A" w:rsidRPr="00B67F7A">
        <w:rPr>
          <w:color w:val="222222"/>
          <w:sz w:val="24"/>
          <w:szCs w:val="24"/>
          <w:shd w:val="clear" w:color="auto" w:fill="FFFFFF"/>
          <w:vertAlign w:val="superscript"/>
          <w:lang w:val="en-CA"/>
        </w:rPr>
        <w:footnoteReference w:id="66"/>
      </w:r>
      <w:r w:rsidR="00B67F7A" w:rsidRPr="00B67F7A">
        <w:rPr>
          <w:color w:val="222222"/>
          <w:sz w:val="24"/>
          <w:szCs w:val="24"/>
          <w:shd w:val="clear" w:color="auto" w:fill="FFFFFF"/>
          <w:lang w:val="en-CA"/>
        </w:rPr>
        <w:t xml:space="preserve"> I always aim to end an oral argument or speech on a strong, memorable note. Too often, I have not succeeded. On my daily walks home from the subway station earlier that month, spurred on by a nagging thought that we might get invited to present to the Joint Committee (no matter how long a long shot it was), I daydreamed about what I might argue. It was on one of those walks that I came up with the closing line that I used when addressing the Joint Committee. For years afterwards, I have used that closer to conclude speech after speech about equality for people with disabilities: “Finally, I would close by saying that there is an oft-stated adage that justice is blind; in fact, it is a cliché. Our concern – and the underlying concern of this presentation – is that while justice may have had the opportunity to experience blindness, we are asking for blind persons, as well as for other handicapped persons, to be given, at last, an opportunity to experience justice.”</w:t>
      </w:r>
      <w:r w:rsidR="00B67F7A" w:rsidRPr="00B67F7A">
        <w:rPr>
          <w:color w:val="222222"/>
          <w:sz w:val="24"/>
          <w:szCs w:val="24"/>
          <w:shd w:val="clear" w:color="auto" w:fill="FFFFFF"/>
          <w:vertAlign w:val="superscript"/>
          <w:lang w:val="en-CA"/>
        </w:rPr>
        <w:footnoteReference w:id="67"/>
      </w:r>
    </w:p>
    <w:p w14:paraId="58D906A3" w14:textId="77777777" w:rsidR="00C069C9" w:rsidRPr="00B67F7A" w:rsidRDefault="00C069C9" w:rsidP="00C54E8A">
      <w:pPr>
        <w:tabs>
          <w:tab w:val="left" w:pos="288"/>
        </w:tabs>
        <w:jc w:val="both"/>
        <w:rPr>
          <w:color w:val="222222"/>
          <w:sz w:val="24"/>
          <w:szCs w:val="24"/>
          <w:shd w:val="clear" w:color="auto" w:fill="FFFFFF"/>
          <w:lang w:val="en-CA"/>
        </w:rPr>
      </w:pPr>
    </w:p>
    <w:p w14:paraId="18E0840B" w14:textId="77777777" w:rsidR="00B67F7A" w:rsidRPr="00455510" w:rsidRDefault="00455510" w:rsidP="00291786">
      <w:pPr>
        <w:pStyle w:val="Heading2"/>
      </w:pPr>
      <w:bookmarkStart w:id="31" w:name="_heading=h.2koq656" w:colFirst="0" w:colLast="0"/>
      <w:bookmarkStart w:id="32" w:name="_Toc132577046"/>
      <w:bookmarkEnd w:id="31"/>
      <w:r w:rsidRPr="00455510">
        <w:lastRenderedPageBreak/>
        <w:t>N. Fielding Three Questions from The Joint Committee</w:t>
      </w:r>
      <w:bookmarkEnd w:id="32"/>
    </w:p>
    <w:p w14:paraId="783651E4" w14:textId="77777777" w:rsidR="00B67F7A" w:rsidRPr="00B67F7A" w:rsidRDefault="0045551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Once I finished, there was time for questions from the Joint Committee. I knew nothing about how legislative committee members conduct themselves during public hearings or how to use the process to advance my goals. When members of a legislative committee who are elected politicians ask questions, they can be posturing for the media and the public rather than making the kinds of inquiries you would expect from a judge grilling me in court. Often, members of a legislative committee are mainly trying to impress upon the presenters that they are genuinely listening and how deeply they do care. I have learned over the years since then, arguing many cases in court and presenting to legislative committees, that a question-and-answer exchange gives me a chance to see how much my audience has absorbed and understood my presentation. In the case of legislative committees, I never assume that their members have read my written brief that was filed with them in advance.</w:t>
      </w:r>
    </w:p>
    <w:p w14:paraId="56F084FF" w14:textId="77777777" w:rsidR="00B67F7A" w:rsidRPr="00B67F7A" w:rsidRDefault="0045551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From the Joint Committee’s three questions to me, my sense then and now is that the questioners barely understood many of the details that I had just tried </w:t>
      </w:r>
      <w:proofErr w:type="gramStart"/>
      <w:r w:rsidR="00B67F7A" w:rsidRPr="00B67F7A">
        <w:rPr>
          <w:color w:val="222222"/>
          <w:sz w:val="24"/>
          <w:szCs w:val="24"/>
          <w:shd w:val="clear" w:color="auto" w:fill="FFFFFF"/>
          <w:lang w:val="en-CA"/>
        </w:rPr>
        <w:t>to</w:t>
      </w:r>
      <w:proofErr w:type="gramEnd"/>
      <w:r w:rsidR="00B67F7A" w:rsidRPr="00B67F7A">
        <w:rPr>
          <w:color w:val="222222"/>
          <w:sz w:val="24"/>
          <w:szCs w:val="24"/>
          <w:shd w:val="clear" w:color="auto" w:fill="FFFFFF"/>
          <w:lang w:val="en-CA"/>
        </w:rPr>
        <w:t xml:space="preserve"> methodically present. They got the core message that there was something wrong with the proposed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from a disability perspective and that we had been left out. That alone was my core objective so whether they processed all the details in my argument was not as important. The audience I needed to convince that day went far beyond the Joint Committee members, </w:t>
      </w:r>
      <w:proofErr w:type="gramStart"/>
      <w:r w:rsidR="00B67F7A" w:rsidRPr="00B67F7A">
        <w:rPr>
          <w:color w:val="222222"/>
          <w:sz w:val="24"/>
          <w:szCs w:val="24"/>
          <w:shd w:val="clear" w:color="auto" w:fill="FFFFFF"/>
          <w:lang w:val="en-CA"/>
        </w:rPr>
        <w:t>whether or not</w:t>
      </w:r>
      <w:proofErr w:type="gramEnd"/>
      <w:r w:rsidR="00B67F7A" w:rsidRPr="00B67F7A">
        <w:rPr>
          <w:color w:val="222222"/>
          <w:sz w:val="24"/>
          <w:szCs w:val="24"/>
          <w:shd w:val="clear" w:color="auto" w:fill="FFFFFF"/>
          <w:lang w:val="en-CA"/>
        </w:rPr>
        <w:t xml:space="preserve"> I was aware of that as I was ploughing through my points. The Joint Committee was being carefully monitored by the three major political parties’ officials </w:t>
      </w:r>
      <w:proofErr w:type="gramStart"/>
      <w:r w:rsidR="00B67F7A" w:rsidRPr="00B67F7A">
        <w:rPr>
          <w:color w:val="222222"/>
          <w:sz w:val="24"/>
          <w:szCs w:val="24"/>
          <w:shd w:val="clear" w:color="auto" w:fill="FFFFFF"/>
          <w:lang w:val="en-CA"/>
        </w:rPr>
        <w:t>in order to</w:t>
      </w:r>
      <w:proofErr w:type="gramEnd"/>
      <w:r w:rsidR="00B67F7A" w:rsidRPr="00B67F7A">
        <w:rPr>
          <w:color w:val="222222"/>
          <w:sz w:val="24"/>
          <w:szCs w:val="24"/>
          <w:shd w:val="clear" w:color="auto" w:fill="FFFFFF"/>
          <w:lang w:val="en-CA"/>
        </w:rPr>
        <w:t xml:space="preserve"> decide what their next moves would be in the political arena. No doubt, officials in the Department of Justice were also monitoring it so they could later brief their political masters on the options open to them and the arguments that would support those options. Those political masters were themselves thinking about how the television audience at home was reacting to what witnesses had to say. That would form part of their political calculation.</w:t>
      </w:r>
    </w:p>
    <w:p w14:paraId="642B1D80" w14:textId="77777777" w:rsidR="00B67F7A" w:rsidRPr="00B67F7A" w:rsidRDefault="0045551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When I appear before a legislative committee now, I am keenly aware that party officials and senior public servants are the true audience whom I must convince. If the media covers the proceedings, I know that they are an additional important audience. In the case of a live broadcast of a legislative committee, I am laser-focused on the fact that I am also speaking to the television audience at home. Add to the mix the availability of live streaming, we can now use the video of my legislative committee presentation as a valuable social media weapon in our campaign. </w:t>
      </w:r>
    </w:p>
    <w:p w14:paraId="6517A2CC" w14:textId="77777777" w:rsidR="00B67F7A" w:rsidRPr="00B67F7A" w:rsidRDefault="0045551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The first question to me came from Senator Richard Donahoe. He told me that when he was a provincial attorney general, a blind person applied for a job as a crown attorney. Donahoe said he struggled with the decision but ended up hiring the person. The person worked out very well.</w:t>
      </w:r>
      <w:r w:rsidR="00B67F7A" w:rsidRPr="00B67F7A">
        <w:rPr>
          <w:color w:val="222222"/>
          <w:sz w:val="24"/>
          <w:szCs w:val="24"/>
          <w:shd w:val="clear" w:color="auto" w:fill="FFFFFF"/>
          <w:vertAlign w:val="superscript"/>
          <w:lang w:val="en-CA"/>
        </w:rPr>
        <w:footnoteReference w:id="68"/>
      </w:r>
      <w:r w:rsidR="00B67F7A" w:rsidRPr="00B67F7A">
        <w:rPr>
          <w:color w:val="222222"/>
          <w:sz w:val="24"/>
          <w:szCs w:val="24"/>
          <w:shd w:val="clear" w:color="auto" w:fill="FFFFFF"/>
          <w:lang w:val="en-CA"/>
        </w:rPr>
        <w:t xml:space="preserve"> Donahoe asked me if I understood the difficulty he faced struggling with that decision. He asked me to highlight what would be the benefits to people with disabilities if we secured the amendment we sought.</w:t>
      </w:r>
      <w:r w:rsidR="00B67F7A" w:rsidRPr="00B67F7A">
        <w:rPr>
          <w:color w:val="222222"/>
          <w:sz w:val="24"/>
          <w:szCs w:val="24"/>
          <w:shd w:val="clear" w:color="auto" w:fill="FFFFFF"/>
          <w:vertAlign w:val="superscript"/>
          <w:lang w:val="en-CA"/>
        </w:rPr>
        <w:footnoteReference w:id="69"/>
      </w:r>
      <w:r w:rsidR="00B67F7A" w:rsidRPr="00B67F7A">
        <w:rPr>
          <w:color w:val="222222"/>
          <w:sz w:val="24"/>
          <w:szCs w:val="24"/>
          <w:shd w:val="clear" w:color="auto" w:fill="FFFFFF"/>
          <w:lang w:val="en-CA"/>
        </w:rPr>
        <w:t xml:space="preserve"> I answered that I understood how difficult his deliberative process would have been since we people with disabilities must ourselves go through that process. I had to think it through before deciding to go to law school.</w:t>
      </w:r>
      <w:r w:rsidR="00B67F7A" w:rsidRPr="00B67F7A">
        <w:rPr>
          <w:color w:val="222222"/>
          <w:sz w:val="24"/>
          <w:szCs w:val="24"/>
          <w:shd w:val="clear" w:color="auto" w:fill="FFFFFF"/>
          <w:vertAlign w:val="superscript"/>
          <w:lang w:val="en-CA"/>
        </w:rPr>
        <w:footnoteReference w:id="70"/>
      </w:r>
      <w:r w:rsidR="00B67F7A" w:rsidRPr="00B67F7A">
        <w:rPr>
          <w:color w:val="222222"/>
          <w:sz w:val="24"/>
          <w:szCs w:val="24"/>
          <w:shd w:val="clear" w:color="auto" w:fill="FFFFFF"/>
          <w:lang w:val="en-CA"/>
        </w:rPr>
        <w:t xml:space="preserve"> This question gave me an early chance to learn how to use such questions as a platform to drive home our argument. I explained that, if the disability amendment was passed, then we could take a case to court if a </w:t>
      </w:r>
      <w:r w:rsidR="00B67F7A" w:rsidRPr="00B67F7A">
        <w:rPr>
          <w:color w:val="222222"/>
          <w:sz w:val="24"/>
          <w:szCs w:val="24"/>
          <w:shd w:val="clear" w:color="auto" w:fill="FFFFFF"/>
          <w:lang w:val="en-CA"/>
        </w:rPr>
        <w:lastRenderedPageBreak/>
        <w:t>legislature had gone through such a deliberative process but gotten the result wrong. People with disabilities could challenge legislation that was discriminatory.</w:t>
      </w:r>
      <w:r w:rsidR="00B67F7A" w:rsidRPr="00B67F7A">
        <w:rPr>
          <w:color w:val="222222"/>
          <w:sz w:val="24"/>
          <w:szCs w:val="24"/>
          <w:shd w:val="clear" w:color="auto" w:fill="FFFFFF"/>
          <w:vertAlign w:val="superscript"/>
          <w:lang w:val="en-CA"/>
        </w:rPr>
        <w:footnoteReference w:id="71"/>
      </w:r>
    </w:p>
    <w:p w14:paraId="56CD4A25" w14:textId="77777777" w:rsidR="00B67F7A" w:rsidRPr="00B67F7A" w:rsidRDefault="0045551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 added that if the disability amendment were not added to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it would signal to people with disabilities that they are not entitled to equality before the law. It would constitutionally entrench the pervasive view of them that is inherent in the daily discrimination that people with disabilities face.</w:t>
      </w:r>
      <w:r w:rsidR="00B67F7A" w:rsidRPr="00B67F7A">
        <w:rPr>
          <w:color w:val="222222"/>
          <w:sz w:val="24"/>
          <w:szCs w:val="24"/>
          <w:shd w:val="clear" w:color="auto" w:fill="FFFFFF"/>
          <w:vertAlign w:val="superscript"/>
          <w:lang w:val="en-CA"/>
        </w:rPr>
        <w:footnoteReference w:id="72"/>
      </w:r>
      <w:r w:rsidR="00B67F7A" w:rsidRPr="00B67F7A">
        <w:rPr>
          <w:color w:val="222222"/>
          <w:sz w:val="24"/>
          <w:szCs w:val="24"/>
          <w:shd w:val="clear" w:color="auto" w:fill="FFFFFF"/>
          <w:lang w:val="en-CA"/>
        </w:rPr>
        <w:t xml:space="preserve"> If it were adopted, then Canada would take the best possible move during the International Year of Disabled Persons to ensure equality for people with disabilities. It would tell Canadians that a new era has begun for those “who in the past have either been a forgotten minority or a lesser class of citizen.”</w:t>
      </w:r>
      <w:r w:rsidR="00B67F7A" w:rsidRPr="00B67F7A">
        <w:rPr>
          <w:color w:val="222222"/>
          <w:sz w:val="24"/>
          <w:szCs w:val="24"/>
          <w:shd w:val="clear" w:color="auto" w:fill="FFFFFF"/>
          <w:vertAlign w:val="superscript"/>
          <w:lang w:val="en-CA"/>
        </w:rPr>
        <w:footnoteReference w:id="73"/>
      </w:r>
    </w:p>
    <w:p w14:paraId="1CA245B6" w14:textId="77777777" w:rsidR="00B67F7A" w:rsidRPr="00B67F7A" w:rsidRDefault="0045551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The second question to me came from Member of Parliament Victor Althouse. He asked whether the disability amendment would help address the problem of discrimination against blind people in employment.</w:t>
      </w:r>
      <w:r w:rsidR="00B67F7A" w:rsidRPr="00B67F7A">
        <w:rPr>
          <w:color w:val="222222"/>
          <w:sz w:val="24"/>
          <w:szCs w:val="24"/>
          <w:shd w:val="clear" w:color="auto" w:fill="FFFFFF"/>
          <w:vertAlign w:val="superscript"/>
          <w:lang w:val="en-CA"/>
        </w:rPr>
        <w:footnoteReference w:id="74"/>
      </w:r>
      <w:r w:rsidR="00B67F7A" w:rsidRPr="00B67F7A">
        <w:rPr>
          <w:color w:val="222222"/>
          <w:sz w:val="24"/>
          <w:szCs w:val="24"/>
          <w:shd w:val="clear" w:color="auto" w:fill="FFFFFF"/>
          <w:lang w:val="en-CA"/>
        </w:rPr>
        <w:t xml:space="preserve"> I explained that this is principally the focus of human rights legislation, not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I said that the disability amendment would help educate the public that people with disabilities are entitled to equality.</w:t>
      </w:r>
      <w:r w:rsidR="00B67F7A" w:rsidRPr="00B67F7A">
        <w:rPr>
          <w:color w:val="222222"/>
          <w:sz w:val="24"/>
          <w:szCs w:val="24"/>
          <w:shd w:val="clear" w:color="auto" w:fill="FFFFFF"/>
          <w:vertAlign w:val="superscript"/>
          <w:lang w:val="en-CA"/>
        </w:rPr>
        <w:footnoteReference w:id="75"/>
      </w:r>
      <w:r w:rsidR="00B67F7A" w:rsidRPr="00B67F7A">
        <w:rPr>
          <w:color w:val="222222"/>
          <w:sz w:val="24"/>
          <w:szCs w:val="24"/>
          <w:shd w:val="clear" w:color="auto" w:fill="FFFFFF"/>
          <w:lang w:val="en-CA"/>
        </w:rPr>
        <w:t xml:space="preserve"> I said that it might be argued that any province’s </w:t>
      </w:r>
      <w:r w:rsidR="00B67F7A" w:rsidRPr="00B67F7A">
        <w:rPr>
          <w:i/>
          <w:iCs/>
          <w:color w:val="222222"/>
          <w:sz w:val="24"/>
          <w:szCs w:val="24"/>
          <w:shd w:val="clear" w:color="auto" w:fill="FFFFFF"/>
          <w:lang w:val="en-CA"/>
        </w:rPr>
        <w:t>Human Rights Code</w:t>
      </w:r>
      <w:r w:rsidR="00B67F7A" w:rsidRPr="00B67F7A">
        <w:rPr>
          <w:color w:val="222222"/>
          <w:sz w:val="24"/>
          <w:szCs w:val="24"/>
          <w:shd w:val="clear" w:color="auto" w:fill="FFFFFF"/>
          <w:lang w:val="en-CA"/>
        </w:rPr>
        <w:t xml:space="preserve"> that does not ban discrimination because of disability might contravene the disability amendment. I tried to sound balanced by saying that I doubted that such an argument would succeed.</w:t>
      </w:r>
      <w:r w:rsidR="00B67F7A" w:rsidRPr="00B67F7A">
        <w:rPr>
          <w:color w:val="222222"/>
          <w:sz w:val="24"/>
          <w:szCs w:val="24"/>
          <w:shd w:val="clear" w:color="auto" w:fill="FFFFFF"/>
          <w:vertAlign w:val="superscript"/>
          <w:lang w:val="en-CA"/>
        </w:rPr>
        <w:footnoteReference w:id="76"/>
      </w:r>
      <w:r w:rsidR="00B67F7A" w:rsidRPr="00B67F7A">
        <w:rPr>
          <w:color w:val="222222"/>
          <w:sz w:val="24"/>
          <w:szCs w:val="24"/>
          <w:shd w:val="clear" w:color="auto" w:fill="FFFFFF"/>
          <w:lang w:val="en-CA"/>
        </w:rPr>
        <w:t xml:space="preserve"> Ironically, my off-the-cuff legal judgment that day in December 1980 turned out to be incorrect. That argument, which I then doubted, has great merit. </w:t>
      </w:r>
    </w:p>
    <w:p w14:paraId="1859098C" w14:textId="77777777" w:rsidR="00B67F7A" w:rsidRPr="00B67F7A" w:rsidRDefault="0045551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In 1986, concern about this very kind of constitutional vulnerability under the disability amendment led the Ontario legislature to remove a problematic exemption from the Ontario </w:t>
      </w:r>
      <w:r w:rsidR="00B67F7A" w:rsidRPr="00B67F7A">
        <w:rPr>
          <w:i/>
          <w:iCs/>
          <w:color w:val="222222"/>
          <w:sz w:val="24"/>
          <w:szCs w:val="24"/>
          <w:shd w:val="clear" w:color="auto" w:fill="FFFFFF"/>
          <w:lang w:val="en-CA"/>
        </w:rPr>
        <w:t>Human Rights Code</w:t>
      </w:r>
      <w:r w:rsidR="00B67F7A" w:rsidRPr="00B67F7A">
        <w:rPr>
          <w:color w:val="222222"/>
          <w:sz w:val="24"/>
          <w:szCs w:val="24"/>
          <w:shd w:val="clear" w:color="auto" w:fill="FFFFFF"/>
          <w:lang w:val="en-CA"/>
        </w:rPr>
        <w:t xml:space="preserve">, which had hitherto unfairly limited protection for people with disabilities. In 1981, the Ontario legislature amended its </w:t>
      </w:r>
      <w:r w:rsidR="00B67F7A" w:rsidRPr="00B67F7A">
        <w:rPr>
          <w:i/>
          <w:iCs/>
          <w:color w:val="222222"/>
          <w:sz w:val="24"/>
          <w:szCs w:val="24"/>
          <w:shd w:val="clear" w:color="auto" w:fill="FFFFFF"/>
          <w:lang w:val="en-CA"/>
        </w:rPr>
        <w:t>Human Rights Code</w:t>
      </w:r>
      <w:r w:rsidR="00B67F7A" w:rsidRPr="00B67F7A">
        <w:rPr>
          <w:color w:val="222222"/>
          <w:sz w:val="24"/>
          <w:szCs w:val="24"/>
          <w:shd w:val="clear" w:color="auto" w:fill="FFFFFF"/>
          <w:lang w:val="en-CA"/>
        </w:rPr>
        <w:t xml:space="preserve"> to prohibit discrimination because of disability in employment and access to goods, services, and facilities.</w:t>
      </w:r>
      <w:r w:rsidR="00B67F7A" w:rsidRPr="00B67F7A">
        <w:rPr>
          <w:color w:val="222222"/>
          <w:sz w:val="24"/>
          <w:szCs w:val="24"/>
          <w:shd w:val="clear" w:color="auto" w:fill="FFFFFF"/>
          <w:vertAlign w:val="superscript"/>
          <w:lang w:val="en-CA"/>
        </w:rPr>
        <w:footnoteReference w:id="77"/>
      </w:r>
      <w:r w:rsidR="00B67F7A" w:rsidRPr="00B67F7A">
        <w:rPr>
          <w:color w:val="222222"/>
          <w:sz w:val="24"/>
          <w:szCs w:val="24"/>
          <w:shd w:val="clear" w:color="auto" w:fill="FFFFFF"/>
          <w:lang w:val="en-CA"/>
        </w:rPr>
        <w:t xml:space="preserve"> However, it created an unfair exemption that would not allow for a claim of disability discrimination if it were based solely on the fact that the premises were physically inaccessible. Section 16(1)(a) of the 1981 Code provided in material part:</w:t>
      </w:r>
    </w:p>
    <w:p w14:paraId="2ACFFCB4" w14:textId="77777777" w:rsidR="00B67F7A" w:rsidRPr="00B67F7A" w:rsidRDefault="00B67F7A" w:rsidP="00C54E8A">
      <w:pPr>
        <w:tabs>
          <w:tab w:val="left" w:pos="288"/>
        </w:tabs>
        <w:jc w:val="both"/>
        <w:rPr>
          <w:color w:val="222222"/>
          <w:sz w:val="24"/>
          <w:szCs w:val="24"/>
          <w:shd w:val="clear" w:color="auto" w:fill="FFFFFF"/>
          <w:lang w:val="en-CA"/>
        </w:rPr>
      </w:pPr>
    </w:p>
    <w:p w14:paraId="081E4BC1" w14:textId="77777777" w:rsidR="00B67F7A" w:rsidRPr="00B67F7A" w:rsidRDefault="00B67F7A" w:rsidP="00455510">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 xml:space="preserve">16. (1) A right of a person under this Act is not infringed for the reason only </w:t>
      </w:r>
    </w:p>
    <w:p w14:paraId="0D4CCDBC" w14:textId="77777777" w:rsidR="00B67F7A" w:rsidRPr="00B67F7A" w:rsidRDefault="00B67F7A" w:rsidP="00455510">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(a) that the person does not have access to premises, services, goods, facilities or accommodation because of handicap, or that the premises, services, goods, facilities or accommodation lack the amenities that are appropriate for the person because of handicap.</w:t>
      </w:r>
      <w:r w:rsidRPr="00B67F7A">
        <w:rPr>
          <w:color w:val="222222"/>
          <w:sz w:val="24"/>
          <w:szCs w:val="24"/>
          <w:shd w:val="clear" w:color="auto" w:fill="FFFFFF"/>
          <w:vertAlign w:val="superscript"/>
          <w:lang w:val="en-CA"/>
        </w:rPr>
        <w:footnoteReference w:id="78"/>
      </w:r>
    </w:p>
    <w:p w14:paraId="567D55A0" w14:textId="77777777" w:rsidR="00B67F7A" w:rsidRPr="00B67F7A" w:rsidRDefault="00B67F7A" w:rsidP="00C54E8A">
      <w:pPr>
        <w:tabs>
          <w:tab w:val="left" w:pos="288"/>
        </w:tabs>
        <w:jc w:val="both"/>
        <w:rPr>
          <w:color w:val="222222"/>
          <w:sz w:val="24"/>
          <w:szCs w:val="24"/>
          <w:shd w:val="clear" w:color="auto" w:fill="FFFFFF"/>
          <w:lang w:val="en-CA"/>
        </w:rPr>
      </w:pPr>
    </w:p>
    <w:p w14:paraId="214ABB09"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 xml:space="preserve">In 1986, the Ontario legislature repealed this exemption. It did so in an omnibus bill aimed at bringing provincial legislation in line with section 15 of the </w:t>
      </w:r>
      <w:r w:rsidRPr="00B67F7A">
        <w:rPr>
          <w:i/>
          <w:iCs/>
          <w:color w:val="222222"/>
          <w:sz w:val="24"/>
          <w:szCs w:val="24"/>
          <w:shd w:val="clear" w:color="auto" w:fill="FFFFFF"/>
          <w:lang w:val="en-CA"/>
        </w:rPr>
        <w:t>Charter</w:t>
      </w:r>
      <w:r w:rsidRPr="00B67F7A">
        <w:rPr>
          <w:color w:val="222222"/>
          <w:sz w:val="24"/>
          <w:szCs w:val="24"/>
          <w:shd w:val="clear" w:color="auto" w:fill="FFFFFF"/>
          <w:lang w:val="en-CA"/>
        </w:rPr>
        <w:t>.</w:t>
      </w:r>
      <w:r w:rsidRPr="00B67F7A">
        <w:rPr>
          <w:color w:val="222222"/>
          <w:sz w:val="24"/>
          <w:szCs w:val="24"/>
          <w:shd w:val="clear" w:color="auto" w:fill="FFFFFF"/>
          <w:vertAlign w:val="superscript"/>
          <w:lang w:val="en-CA"/>
        </w:rPr>
        <w:footnoteReference w:id="79"/>
      </w:r>
      <w:r w:rsidRPr="00B67F7A">
        <w:rPr>
          <w:color w:val="222222"/>
          <w:sz w:val="24"/>
          <w:szCs w:val="24"/>
          <w:shd w:val="clear" w:color="auto" w:fill="FFFFFF"/>
          <w:lang w:val="en-CA"/>
        </w:rPr>
        <w:t xml:space="preserve"> The chain of reasoning that I largely dismissed in 1980 was the very chain of reasoning that led the Ontario legislature to helpfully expand </w:t>
      </w:r>
      <w:r w:rsidRPr="00B67F7A">
        <w:rPr>
          <w:color w:val="222222"/>
          <w:sz w:val="24"/>
          <w:szCs w:val="24"/>
          <w:shd w:val="clear" w:color="auto" w:fill="FFFFFF"/>
          <w:lang w:val="en-CA"/>
        </w:rPr>
        <w:lastRenderedPageBreak/>
        <w:t>human rights protections for people with disabilities in 1986. In the same vein, in 1988, the Supreme Court of Canada held that Alberta discriminated against LGBTQ2S+ people because it did not prohibit discrimination based on sexual orientation in Alberta’s anti-discrimination legislation.</w:t>
      </w:r>
      <w:r w:rsidRPr="00B67F7A">
        <w:rPr>
          <w:color w:val="222222"/>
          <w:sz w:val="24"/>
          <w:szCs w:val="24"/>
          <w:shd w:val="clear" w:color="auto" w:fill="FFFFFF"/>
          <w:vertAlign w:val="superscript"/>
          <w:lang w:val="en-CA"/>
        </w:rPr>
        <w:footnoteReference w:id="80"/>
      </w:r>
      <w:r w:rsidRPr="00B67F7A">
        <w:rPr>
          <w:color w:val="222222"/>
          <w:sz w:val="24"/>
          <w:szCs w:val="24"/>
          <w:shd w:val="clear" w:color="auto" w:fill="FFFFFF"/>
          <w:lang w:val="en-CA"/>
        </w:rPr>
        <w:t xml:space="preserve"> The Supreme Court’s reasoning demonstrated that my thinking on the analogous disability issue in December 1980 was erroneous and far too cautious.</w:t>
      </w:r>
    </w:p>
    <w:p w14:paraId="4AF60EED" w14:textId="77777777" w:rsidR="00B67F7A" w:rsidRPr="00B67F7A" w:rsidRDefault="0045551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The third question to me, this time from Senator John Connolly, began with him telling me he thought I would make a good lawyer and hoped I might run for Parliament (which I have never wanted to do).</w:t>
      </w:r>
      <w:r w:rsidR="00B67F7A" w:rsidRPr="00B67F7A">
        <w:rPr>
          <w:color w:val="222222"/>
          <w:sz w:val="24"/>
          <w:szCs w:val="24"/>
          <w:shd w:val="clear" w:color="auto" w:fill="FFFFFF"/>
          <w:vertAlign w:val="superscript"/>
          <w:lang w:val="en-CA"/>
        </w:rPr>
        <w:footnoteReference w:id="81"/>
      </w:r>
      <w:r w:rsidR="00B67F7A" w:rsidRPr="00B67F7A">
        <w:rPr>
          <w:color w:val="222222"/>
          <w:sz w:val="24"/>
          <w:szCs w:val="24"/>
          <w:shd w:val="clear" w:color="auto" w:fill="FFFFFF"/>
          <w:lang w:val="en-CA"/>
        </w:rPr>
        <w:t xml:space="preserve"> I will spare you from how that free unsolicited career advice landed with me, then and now. Connolly then asked whether it would be segregation against people who are blind or who have a disability if disability was included in section 15. His question read in material part:</w:t>
      </w:r>
    </w:p>
    <w:p w14:paraId="5CA77EF3" w14:textId="77777777" w:rsidR="00B67F7A" w:rsidRPr="00B67F7A" w:rsidRDefault="00B67F7A" w:rsidP="00C54E8A">
      <w:pPr>
        <w:tabs>
          <w:tab w:val="left" w:pos="288"/>
        </w:tabs>
        <w:jc w:val="both"/>
        <w:rPr>
          <w:color w:val="222222"/>
          <w:sz w:val="24"/>
          <w:szCs w:val="24"/>
          <w:shd w:val="clear" w:color="auto" w:fill="FFFFFF"/>
          <w:lang w:val="en-CA"/>
        </w:rPr>
      </w:pPr>
    </w:p>
    <w:p w14:paraId="20BE1CDA" w14:textId="77777777" w:rsidR="00B67F7A" w:rsidRPr="00B67F7A" w:rsidRDefault="00B67F7A" w:rsidP="00455510">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You have been talking, and the other groups which have represented the handicapped have also been talking, about the importance of integrating the handicapped community into the normal stream of public life.</w:t>
      </w:r>
    </w:p>
    <w:p w14:paraId="3865923D" w14:textId="77777777" w:rsidR="00B67F7A" w:rsidRPr="00B67F7A" w:rsidRDefault="00B67F7A" w:rsidP="00455510">
      <w:pPr>
        <w:tabs>
          <w:tab w:val="left" w:pos="288"/>
        </w:tabs>
        <w:ind w:left="720" w:right="720"/>
        <w:jc w:val="both"/>
        <w:rPr>
          <w:color w:val="222222"/>
          <w:sz w:val="24"/>
          <w:szCs w:val="24"/>
          <w:shd w:val="clear" w:color="auto" w:fill="FFFFFF"/>
          <w:lang w:val="en-CA"/>
        </w:rPr>
      </w:pPr>
    </w:p>
    <w:p w14:paraId="2BA80D19" w14:textId="77777777" w:rsidR="00B67F7A" w:rsidRPr="00B67F7A" w:rsidRDefault="00B67F7A" w:rsidP="00455510">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I think great strides have been made as education has advanced, and as public education in this respect has improved. I do not ask you this as a trick question, but I wonder whether, by segregating the handicapped you are not, to use your own words, signaling to the disabled that they are forever a segregated group?</w:t>
      </w:r>
    </w:p>
    <w:p w14:paraId="690B30E0" w14:textId="77777777" w:rsidR="00B67F7A" w:rsidRPr="00B67F7A" w:rsidRDefault="00B67F7A" w:rsidP="00455510">
      <w:pPr>
        <w:tabs>
          <w:tab w:val="left" w:pos="288"/>
        </w:tabs>
        <w:ind w:left="720" w:right="720"/>
        <w:jc w:val="both"/>
        <w:rPr>
          <w:color w:val="222222"/>
          <w:sz w:val="24"/>
          <w:szCs w:val="24"/>
          <w:shd w:val="clear" w:color="auto" w:fill="FFFFFF"/>
          <w:lang w:val="en-CA"/>
        </w:rPr>
      </w:pPr>
    </w:p>
    <w:p w14:paraId="6D5EF570" w14:textId="77777777" w:rsidR="00B67F7A" w:rsidRPr="00B67F7A" w:rsidRDefault="00B67F7A" w:rsidP="00455510">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Would your position not be stronger before the law, even before these provincial laws which you have criticized here, if a non-discriminatory clause applied equally to you, whether you are handicapped, equally to me, whether I do not happen to be physically handicapped, maybe mentally and so on; but would it not be better in the long run not to have a special category set out in a constitution which, presumably, is to last for a very long time?</w:t>
      </w:r>
      <w:r w:rsidRPr="00B67F7A">
        <w:rPr>
          <w:color w:val="222222"/>
          <w:sz w:val="24"/>
          <w:szCs w:val="24"/>
          <w:shd w:val="clear" w:color="auto" w:fill="FFFFFF"/>
          <w:vertAlign w:val="superscript"/>
          <w:lang w:val="en-CA"/>
        </w:rPr>
        <w:footnoteReference w:id="82"/>
      </w:r>
    </w:p>
    <w:p w14:paraId="6EFAB163" w14:textId="77777777" w:rsidR="00B67F7A" w:rsidRPr="00B67F7A" w:rsidRDefault="00B67F7A" w:rsidP="00C54E8A">
      <w:pPr>
        <w:tabs>
          <w:tab w:val="left" w:pos="288"/>
        </w:tabs>
        <w:jc w:val="both"/>
        <w:rPr>
          <w:color w:val="222222"/>
          <w:sz w:val="24"/>
          <w:szCs w:val="24"/>
          <w:shd w:val="clear" w:color="auto" w:fill="FFFFFF"/>
          <w:lang w:val="en-CA"/>
        </w:rPr>
      </w:pPr>
    </w:p>
    <w:p w14:paraId="22740BCB"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I did not understand, then or now, why a ban on discrimination against people with disabilities could constitute segregating people with disabilities. I responded to Connolly by explaining how the CNIB and other disability organizations were then advocating for the integration, not the segregation, of people with disabilities.</w:t>
      </w:r>
      <w:r w:rsidRPr="00B67F7A">
        <w:rPr>
          <w:color w:val="222222"/>
          <w:sz w:val="24"/>
          <w:szCs w:val="24"/>
          <w:shd w:val="clear" w:color="auto" w:fill="FFFFFF"/>
          <w:vertAlign w:val="superscript"/>
          <w:lang w:val="en-CA"/>
        </w:rPr>
        <w:footnoteReference w:id="83"/>
      </w:r>
      <w:r w:rsidRPr="00B67F7A">
        <w:rPr>
          <w:color w:val="222222"/>
          <w:sz w:val="24"/>
          <w:szCs w:val="24"/>
          <w:shd w:val="clear" w:color="auto" w:fill="FFFFFF"/>
          <w:lang w:val="en-CA"/>
        </w:rPr>
        <w:t xml:space="preserve"> I then reiterated why it would be problematic for us if section 15 did not list some prohibited grounds of discrimination, including disability.</w:t>
      </w:r>
      <w:r w:rsidRPr="00B67F7A">
        <w:rPr>
          <w:color w:val="222222"/>
          <w:sz w:val="24"/>
          <w:szCs w:val="24"/>
          <w:shd w:val="clear" w:color="auto" w:fill="FFFFFF"/>
          <w:vertAlign w:val="superscript"/>
          <w:lang w:val="en-CA"/>
        </w:rPr>
        <w:footnoteReference w:id="84"/>
      </w:r>
      <w:r w:rsidRPr="00B67F7A">
        <w:rPr>
          <w:color w:val="222222"/>
          <w:sz w:val="24"/>
          <w:szCs w:val="24"/>
          <w:shd w:val="clear" w:color="auto" w:fill="FFFFFF"/>
          <w:lang w:val="en-CA"/>
        </w:rPr>
        <w:t xml:space="preserve"> That latter answer was not responsive to the question. However, by luck, it ended up being a point worth making and was the point on which our presentation was to conclude. Our time had run out.</w:t>
      </w:r>
    </w:p>
    <w:p w14:paraId="58F522B7" w14:textId="77777777" w:rsidR="00B67F7A" w:rsidRDefault="00B67F7A" w:rsidP="00C54E8A">
      <w:pPr>
        <w:tabs>
          <w:tab w:val="left" w:pos="288"/>
        </w:tabs>
        <w:jc w:val="both"/>
        <w:rPr>
          <w:color w:val="222222"/>
          <w:sz w:val="24"/>
          <w:szCs w:val="24"/>
          <w:shd w:val="clear" w:color="auto" w:fill="FFFFFF"/>
          <w:lang w:val="en-CA"/>
        </w:rPr>
      </w:pPr>
    </w:p>
    <w:p w14:paraId="4F41BA9E" w14:textId="77777777" w:rsidR="00034FD0" w:rsidRDefault="00034FD0" w:rsidP="00C54E8A">
      <w:pPr>
        <w:tabs>
          <w:tab w:val="left" w:pos="288"/>
        </w:tabs>
        <w:jc w:val="both"/>
        <w:rPr>
          <w:color w:val="222222"/>
          <w:sz w:val="24"/>
          <w:szCs w:val="24"/>
          <w:shd w:val="clear" w:color="auto" w:fill="FFFFFF"/>
          <w:lang w:val="en-CA"/>
        </w:rPr>
      </w:pPr>
    </w:p>
    <w:p w14:paraId="27A12E12" w14:textId="77777777" w:rsidR="00034FD0" w:rsidRPr="00B67F7A" w:rsidRDefault="00034FD0" w:rsidP="00C54E8A">
      <w:pPr>
        <w:tabs>
          <w:tab w:val="left" w:pos="288"/>
        </w:tabs>
        <w:jc w:val="both"/>
        <w:rPr>
          <w:color w:val="222222"/>
          <w:sz w:val="24"/>
          <w:szCs w:val="24"/>
          <w:shd w:val="clear" w:color="auto" w:fill="FFFFFF"/>
          <w:lang w:val="en-CA"/>
        </w:rPr>
      </w:pPr>
    </w:p>
    <w:p w14:paraId="6D7126E1" w14:textId="77777777" w:rsidR="00B67F7A" w:rsidRPr="00455510" w:rsidRDefault="00455510" w:rsidP="00291786">
      <w:pPr>
        <w:pStyle w:val="Heading2"/>
      </w:pPr>
      <w:bookmarkStart w:id="33" w:name="_heading=h.zu0gcz" w:colFirst="0" w:colLast="0"/>
      <w:bookmarkStart w:id="34" w:name="_Toc132577047"/>
      <w:bookmarkEnd w:id="33"/>
      <w:r w:rsidRPr="00455510">
        <w:lastRenderedPageBreak/>
        <w:t>O. A Surprise on The Way Out the Door</w:t>
      </w:r>
      <w:bookmarkEnd w:id="34"/>
    </w:p>
    <w:p w14:paraId="28ED6460" w14:textId="77777777" w:rsidR="00B67F7A" w:rsidRPr="00B67F7A" w:rsidRDefault="0045551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With my adrenaline pumping, we completed our presentation and started to leave the room. It was at that point, unexpectedly, that I was approached by a man who identified himself as Eddie Goldenberg. I had very briefly worked with him at a private law firm earlier that spring during my articling experience. Since that time, he had gotten a job working on Justice Minister Jean Chrétien’s political staff. He would have a long career working for Chrétien after this time, ultimately becoming his chief of staff towards the end of Chrétien’s later stint as Canada’s prime minister.</w:t>
      </w:r>
    </w:p>
    <w:p w14:paraId="36307A3D"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He said hi to me as we were walking out of the Joint Committee’s meeting room. I recall almost nothing of our inconsequential exchange. It should have occurred to me on the spot that this was a golden opportunity at which I should immediately leap. I should have asked for his phone number so that we could have a follow-up conversation. In fact, I should have tried to schlep him out into the hall then and there to press him hard on getting the disability amendment approved: “What’s the real hold-up? Who do we need to convince? Can we work together on this?” Foolishly, I did not. Instead, my preoccupation while leaving that meeting room was to get home as soon as possible to make up for my failing to be home that morning for the start of my mother’s birthday. I did nothing whatsoever that day to celebrate the fact that I had just gotten a chance to tell Canada’s Parliament to give people with disabilities a constitutional right to equality. It deserved a celebratory blowout but got none! It was time to get back to the endless boredom of studying for bar exams.</w:t>
      </w:r>
    </w:p>
    <w:p w14:paraId="7CCE34F2" w14:textId="77777777" w:rsidR="00B67F7A" w:rsidRPr="00B67F7A" w:rsidRDefault="00B67F7A" w:rsidP="00C54E8A">
      <w:pPr>
        <w:tabs>
          <w:tab w:val="left" w:pos="288"/>
        </w:tabs>
        <w:jc w:val="both"/>
        <w:rPr>
          <w:color w:val="222222"/>
          <w:sz w:val="24"/>
          <w:szCs w:val="24"/>
          <w:shd w:val="clear" w:color="auto" w:fill="FFFFFF"/>
          <w:lang w:val="en-CA"/>
        </w:rPr>
      </w:pPr>
    </w:p>
    <w:p w14:paraId="0DD2305D" w14:textId="77777777" w:rsidR="00B67F7A" w:rsidRPr="00455510" w:rsidRDefault="00455510" w:rsidP="00291786">
      <w:pPr>
        <w:pStyle w:val="Heading2"/>
      </w:pPr>
      <w:bookmarkStart w:id="35" w:name="_heading=h.3jtnz0s" w:colFirst="0" w:colLast="0"/>
      <w:bookmarkStart w:id="36" w:name="_Toc132577048"/>
      <w:bookmarkEnd w:id="35"/>
      <w:r w:rsidRPr="00455510">
        <w:t>P. Media Coverage the Next Day</w:t>
      </w:r>
      <w:bookmarkEnd w:id="36"/>
    </w:p>
    <w:p w14:paraId="53960A6B" w14:textId="77777777" w:rsidR="00B67F7A" w:rsidRPr="00B67F7A" w:rsidRDefault="00455510"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On the same day that I appeared before the Joint Committee, the CNIB issued a news release. I have absolutely no recollection of anything about it, either working on its text or discussing its distribution. It too was excavated from my garage in preparation for this retrospective. It reads almost identically to the news release that the </w:t>
      </w:r>
      <w:proofErr w:type="spellStart"/>
      <w:r w:rsidR="00B67F7A" w:rsidRPr="00B67F7A">
        <w:rPr>
          <w:color w:val="222222"/>
          <w:sz w:val="24"/>
          <w:szCs w:val="24"/>
          <w:shd w:val="clear" w:color="auto" w:fill="FFFFFF"/>
          <w:lang w:val="en-CA"/>
        </w:rPr>
        <w:t>the</w:t>
      </w:r>
      <w:proofErr w:type="spellEnd"/>
      <w:r w:rsidR="00B67F7A" w:rsidRPr="00B67F7A">
        <w:rPr>
          <w:color w:val="222222"/>
          <w:sz w:val="24"/>
          <w:szCs w:val="24"/>
          <w:shd w:val="clear" w:color="auto" w:fill="FFFFFF"/>
          <w:lang w:val="en-CA"/>
        </w:rPr>
        <w:t xml:space="preserve"> CNIB’s Public Education and Advocacy Committee (PEA Committee) issued five weeks earlier. The CNIB staff must have thrown it together with lightning speed the day before our appearance in Parliament, drawing on the CNIB’s brief to the Joint Committee and the PEA Committee’s very similar earlier news release that I quoted in Chapter 6. The CNIB’s news release on 12 December 1980 made this statement:</w:t>
      </w:r>
    </w:p>
    <w:p w14:paraId="3E1A9246" w14:textId="77777777" w:rsidR="00B67F7A" w:rsidRPr="00B67F7A" w:rsidRDefault="00B67F7A" w:rsidP="00C54E8A">
      <w:pPr>
        <w:tabs>
          <w:tab w:val="left" w:pos="288"/>
        </w:tabs>
        <w:jc w:val="both"/>
        <w:rPr>
          <w:color w:val="222222"/>
          <w:sz w:val="24"/>
          <w:szCs w:val="24"/>
          <w:shd w:val="clear" w:color="auto" w:fill="FFFFFF"/>
          <w:lang w:val="en-CA"/>
        </w:rPr>
      </w:pPr>
    </w:p>
    <w:p w14:paraId="1C6A5462" w14:textId="77777777" w:rsidR="00B67F7A" w:rsidRPr="00B67F7A" w:rsidRDefault="00B67F7A" w:rsidP="00455510">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 xml:space="preserve">“The exclusion of handicapped people from the right to equality under the proposed Constitutional </w:t>
      </w:r>
      <w:r w:rsidRPr="00B67F7A">
        <w:rPr>
          <w:i/>
          <w:iCs/>
          <w:color w:val="222222"/>
          <w:sz w:val="24"/>
          <w:szCs w:val="24"/>
          <w:shd w:val="clear" w:color="auto" w:fill="FFFFFF"/>
          <w:lang w:val="en-CA"/>
        </w:rPr>
        <w:t>Charter of Rights</w:t>
      </w:r>
      <w:r w:rsidRPr="00B67F7A">
        <w:rPr>
          <w:color w:val="222222"/>
          <w:sz w:val="24"/>
          <w:szCs w:val="24"/>
          <w:shd w:val="clear" w:color="auto" w:fill="FFFFFF"/>
          <w:lang w:val="en-CA"/>
        </w:rPr>
        <w:t xml:space="preserve"> has made the </w:t>
      </w:r>
      <w:r w:rsidRPr="00B67F7A">
        <w:rPr>
          <w:i/>
          <w:iCs/>
          <w:color w:val="222222"/>
          <w:sz w:val="24"/>
          <w:szCs w:val="24"/>
          <w:shd w:val="clear" w:color="auto" w:fill="FFFFFF"/>
          <w:lang w:val="en-CA"/>
        </w:rPr>
        <w:t>Charter</w:t>
      </w:r>
      <w:r w:rsidRPr="00B67F7A">
        <w:rPr>
          <w:color w:val="222222"/>
          <w:sz w:val="24"/>
          <w:szCs w:val="24"/>
          <w:shd w:val="clear" w:color="auto" w:fill="FFFFFF"/>
          <w:lang w:val="en-CA"/>
        </w:rPr>
        <w:t xml:space="preserve"> meaningless to hundreds of thousands of handicapped Canadians,” stated CNIB spokesman David Lepofsky appearing before the Special Joint Committee on the Canadian Constitution in Ottawa on December 12.</w:t>
      </w:r>
    </w:p>
    <w:p w14:paraId="3633FBFC" w14:textId="77777777" w:rsidR="00B67F7A" w:rsidRPr="00B67F7A" w:rsidRDefault="00B67F7A" w:rsidP="00455510">
      <w:pPr>
        <w:tabs>
          <w:tab w:val="left" w:pos="288"/>
        </w:tabs>
        <w:ind w:left="720" w:right="720"/>
        <w:jc w:val="both"/>
        <w:rPr>
          <w:color w:val="222222"/>
          <w:sz w:val="24"/>
          <w:szCs w:val="24"/>
          <w:shd w:val="clear" w:color="auto" w:fill="FFFFFF"/>
          <w:lang w:val="en-CA"/>
        </w:rPr>
      </w:pPr>
    </w:p>
    <w:p w14:paraId="0356B7DC" w14:textId="77777777" w:rsidR="00B67F7A" w:rsidRPr="00B67F7A" w:rsidRDefault="00B67F7A" w:rsidP="00455510">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 xml:space="preserve">Mr. Lepofsky, a blind law student representing The Canadian National Institute for the Blind, recommended that “mental or physical handicap” be included in the </w:t>
      </w:r>
      <w:proofErr w:type="spellStart"/>
      <w:r w:rsidRPr="00B67F7A">
        <w:rPr>
          <w:color w:val="222222"/>
          <w:sz w:val="24"/>
          <w:szCs w:val="24"/>
          <w:shd w:val="clear" w:color="auto" w:fill="FFFFFF"/>
          <w:lang w:val="en-CA"/>
        </w:rPr>
        <w:t>nondiscrimination</w:t>
      </w:r>
      <w:proofErr w:type="spellEnd"/>
      <w:r w:rsidRPr="00B67F7A">
        <w:rPr>
          <w:color w:val="222222"/>
          <w:sz w:val="24"/>
          <w:szCs w:val="24"/>
          <w:shd w:val="clear" w:color="auto" w:fill="FFFFFF"/>
          <w:lang w:val="en-CA"/>
        </w:rPr>
        <w:t xml:space="preserve"> section of the </w:t>
      </w:r>
      <w:r w:rsidRPr="00B67F7A">
        <w:rPr>
          <w:i/>
          <w:iCs/>
          <w:color w:val="222222"/>
          <w:sz w:val="24"/>
          <w:szCs w:val="24"/>
          <w:shd w:val="clear" w:color="auto" w:fill="FFFFFF"/>
          <w:lang w:val="en-CA"/>
        </w:rPr>
        <w:t>Charter</w:t>
      </w:r>
      <w:r w:rsidRPr="00B67F7A">
        <w:rPr>
          <w:color w:val="222222"/>
          <w:sz w:val="24"/>
          <w:szCs w:val="24"/>
          <w:shd w:val="clear" w:color="auto" w:fill="FFFFFF"/>
          <w:lang w:val="en-CA"/>
        </w:rPr>
        <w:t>.</w:t>
      </w:r>
    </w:p>
    <w:p w14:paraId="30D82713" w14:textId="77777777" w:rsidR="00B67F7A" w:rsidRPr="00B67F7A" w:rsidRDefault="00B67F7A" w:rsidP="00455510">
      <w:pPr>
        <w:tabs>
          <w:tab w:val="left" w:pos="288"/>
        </w:tabs>
        <w:ind w:left="720" w:right="720"/>
        <w:jc w:val="both"/>
        <w:rPr>
          <w:color w:val="222222"/>
          <w:sz w:val="24"/>
          <w:szCs w:val="24"/>
          <w:shd w:val="clear" w:color="auto" w:fill="FFFFFF"/>
          <w:lang w:val="en-CA"/>
        </w:rPr>
      </w:pPr>
    </w:p>
    <w:p w14:paraId="6F5FC78F" w14:textId="77777777" w:rsidR="00B67F7A" w:rsidRPr="00B67F7A" w:rsidRDefault="00B67F7A" w:rsidP="00455510">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 xml:space="preserve">The proposed wording provides for the right to equality before the law and to the equal protection of the law without discrimination because of race, national or ethnic origin, </w:t>
      </w:r>
      <w:r w:rsidRPr="00B67F7A">
        <w:rPr>
          <w:color w:val="222222"/>
          <w:sz w:val="24"/>
          <w:szCs w:val="24"/>
          <w:shd w:val="clear" w:color="auto" w:fill="FFFFFF"/>
          <w:lang w:val="en-CA"/>
        </w:rPr>
        <w:lastRenderedPageBreak/>
        <w:t>colour, age or sex. Because “mental or physical handicap” is not listed, handicapped persons remain disentitled to equality.</w:t>
      </w:r>
    </w:p>
    <w:p w14:paraId="4877B9FA" w14:textId="77777777" w:rsidR="00B67F7A" w:rsidRPr="00B67F7A" w:rsidRDefault="00B67F7A" w:rsidP="00455510">
      <w:pPr>
        <w:tabs>
          <w:tab w:val="left" w:pos="288"/>
        </w:tabs>
        <w:ind w:left="720" w:right="720"/>
        <w:jc w:val="both"/>
        <w:rPr>
          <w:color w:val="222222"/>
          <w:sz w:val="24"/>
          <w:szCs w:val="24"/>
          <w:shd w:val="clear" w:color="auto" w:fill="FFFFFF"/>
          <w:lang w:val="en-CA"/>
        </w:rPr>
      </w:pPr>
    </w:p>
    <w:p w14:paraId="34267D91" w14:textId="77777777" w:rsidR="00B67F7A" w:rsidRPr="00B67F7A" w:rsidRDefault="00B67F7A" w:rsidP="00455510">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 xml:space="preserve">“The repudiation of handicapped persons’ human rights is made all the more shocking because the </w:t>
      </w:r>
      <w:r w:rsidRPr="00B67F7A">
        <w:rPr>
          <w:i/>
          <w:iCs/>
          <w:color w:val="222222"/>
          <w:sz w:val="24"/>
          <w:szCs w:val="24"/>
          <w:shd w:val="clear" w:color="auto" w:fill="FFFFFF"/>
          <w:lang w:val="en-CA"/>
        </w:rPr>
        <w:t>Charter</w:t>
      </w:r>
      <w:r w:rsidRPr="00B67F7A">
        <w:rPr>
          <w:color w:val="222222"/>
          <w:sz w:val="24"/>
          <w:szCs w:val="24"/>
          <w:shd w:val="clear" w:color="auto" w:fill="FFFFFF"/>
          <w:lang w:val="en-CA"/>
        </w:rPr>
        <w:t xml:space="preserve"> is proposed to be enacted in 1981, during the International Year of Disabled Persons.”</w:t>
      </w:r>
    </w:p>
    <w:p w14:paraId="43AC0409" w14:textId="77777777" w:rsidR="00B67F7A" w:rsidRPr="00B67F7A" w:rsidRDefault="00B67F7A" w:rsidP="00455510">
      <w:pPr>
        <w:tabs>
          <w:tab w:val="left" w:pos="288"/>
        </w:tabs>
        <w:ind w:left="720" w:right="720"/>
        <w:jc w:val="both"/>
        <w:rPr>
          <w:color w:val="222222"/>
          <w:sz w:val="24"/>
          <w:szCs w:val="24"/>
          <w:shd w:val="clear" w:color="auto" w:fill="FFFFFF"/>
          <w:lang w:val="en-CA"/>
        </w:rPr>
      </w:pPr>
    </w:p>
    <w:p w14:paraId="39239760" w14:textId="77777777" w:rsidR="00B67F7A" w:rsidRPr="00B67F7A" w:rsidRDefault="00B67F7A" w:rsidP="00455510">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Mr. Lepofsky also criticized the proposed exemption clause pointing out that exemption should not apply to certain rights such as protection from discrimination and the right to an interpreter for a deaf or a deaf-blind individual.</w:t>
      </w:r>
    </w:p>
    <w:p w14:paraId="25730A01" w14:textId="77777777" w:rsidR="00B67F7A" w:rsidRPr="00B67F7A" w:rsidRDefault="00B67F7A" w:rsidP="00455510">
      <w:pPr>
        <w:tabs>
          <w:tab w:val="left" w:pos="288"/>
        </w:tabs>
        <w:ind w:left="720" w:right="720"/>
        <w:jc w:val="both"/>
        <w:rPr>
          <w:color w:val="222222"/>
          <w:sz w:val="24"/>
          <w:szCs w:val="24"/>
          <w:shd w:val="clear" w:color="auto" w:fill="FFFFFF"/>
          <w:lang w:val="en-CA"/>
        </w:rPr>
      </w:pPr>
    </w:p>
    <w:p w14:paraId="495390D2" w14:textId="77777777" w:rsidR="00B67F7A" w:rsidRPr="00B67F7A" w:rsidRDefault="00B67F7A" w:rsidP="00455510">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 xml:space="preserve">He said the proposed exemption clause could be interpreted by the courts as rendering constitutional virtually all legislation passed in Canada </w:t>
      </w:r>
      <w:proofErr w:type="gramStart"/>
      <w:r w:rsidRPr="00B67F7A">
        <w:rPr>
          <w:color w:val="222222"/>
          <w:sz w:val="24"/>
          <w:szCs w:val="24"/>
          <w:shd w:val="clear" w:color="auto" w:fill="FFFFFF"/>
          <w:lang w:val="en-CA"/>
        </w:rPr>
        <w:t>whether or not</w:t>
      </w:r>
      <w:proofErr w:type="gramEnd"/>
      <w:r w:rsidRPr="00B67F7A">
        <w:rPr>
          <w:color w:val="222222"/>
          <w:sz w:val="24"/>
          <w:szCs w:val="24"/>
          <w:shd w:val="clear" w:color="auto" w:fill="FFFFFF"/>
          <w:lang w:val="en-CA"/>
        </w:rPr>
        <w:t xml:space="preserve"> it infringed the fundamental rights listed in the </w:t>
      </w:r>
      <w:r w:rsidRPr="00B67F7A">
        <w:rPr>
          <w:i/>
          <w:iCs/>
          <w:color w:val="222222"/>
          <w:sz w:val="24"/>
          <w:szCs w:val="24"/>
          <w:shd w:val="clear" w:color="auto" w:fill="FFFFFF"/>
          <w:lang w:val="en-CA"/>
        </w:rPr>
        <w:t>Charter</w:t>
      </w:r>
      <w:r w:rsidRPr="00B67F7A">
        <w:rPr>
          <w:color w:val="222222"/>
          <w:sz w:val="24"/>
          <w:szCs w:val="24"/>
          <w:shd w:val="clear" w:color="auto" w:fill="FFFFFF"/>
          <w:lang w:val="en-CA"/>
        </w:rPr>
        <w:t>.</w:t>
      </w:r>
      <w:r w:rsidRPr="00B67F7A">
        <w:rPr>
          <w:color w:val="222222"/>
          <w:sz w:val="24"/>
          <w:szCs w:val="24"/>
          <w:shd w:val="clear" w:color="auto" w:fill="FFFFFF"/>
          <w:vertAlign w:val="superscript"/>
          <w:lang w:val="en-CA"/>
        </w:rPr>
        <w:footnoteReference w:id="85"/>
      </w:r>
    </w:p>
    <w:p w14:paraId="25E79491" w14:textId="77777777" w:rsidR="00B67F7A" w:rsidRPr="00B67F7A" w:rsidRDefault="00B67F7A" w:rsidP="00C54E8A">
      <w:pPr>
        <w:tabs>
          <w:tab w:val="left" w:pos="288"/>
        </w:tabs>
        <w:jc w:val="both"/>
        <w:rPr>
          <w:color w:val="222222"/>
          <w:sz w:val="24"/>
          <w:szCs w:val="24"/>
          <w:shd w:val="clear" w:color="auto" w:fill="FFFFFF"/>
          <w:lang w:val="en-CA"/>
        </w:rPr>
      </w:pPr>
    </w:p>
    <w:p w14:paraId="403B5512"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 xml:space="preserve">Amazingly, the media briefly broke radio silence the next day on the campaign for the disability amendment. On 13 December 1980, the </w:t>
      </w:r>
      <w:r w:rsidRPr="00B67F7A">
        <w:rPr>
          <w:i/>
          <w:iCs/>
          <w:color w:val="222222"/>
          <w:sz w:val="24"/>
          <w:szCs w:val="24"/>
          <w:shd w:val="clear" w:color="auto" w:fill="FFFFFF"/>
          <w:lang w:val="en-CA"/>
        </w:rPr>
        <w:t>Globe and Mail</w:t>
      </w:r>
      <w:r w:rsidRPr="00B67F7A">
        <w:rPr>
          <w:color w:val="222222"/>
          <w:sz w:val="24"/>
          <w:szCs w:val="24"/>
          <w:shd w:val="clear" w:color="auto" w:fill="FFFFFF"/>
          <w:lang w:val="en-CA"/>
        </w:rPr>
        <w:t xml:space="preserve"> included a Canadian press report on my presentation to the Joint Committee on page 12. I have no idea whether our 12 December 1980 news release played any part in triggering this article. The report incorrectly said I was a University of Toronto law student rather than a graduate of Osgoode Hall Law School. That mattered not a bit. The story read:</w:t>
      </w:r>
    </w:p>
    <w:p w14:paraId="3F3B5793"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ab/>
      </w:r>
      <w:r w:rsidRPr="00B67F7A">
        <w:rPr>
          <w:color w:val="222222"/>
          <w:sz w:val="24"/>
          <w:szCs w:val="24"/>
          <w:shd w:val="clear" w:color="auto" w:fill="FFFFFF"/>
          <w:lang w:val="en-CA"/>
        </w:rPr>
        <w:tab/>
      </w:r>
    </w:p>
    <w:p w14:paraId="629B798B" w14:textId="77777777" w:rsidR="00B67F7A" w:rsidRPr="00B67F7A" w:rsidRDefault="00B67F7A" w:rsidP="00F90A69">
      <w:pPr>
        <w:tabs>
          <w:tab w:val="left" w:pos="288"/>
        </w:tabs>
        <w:ind w:left="720" w:right="720"/>
        <w:jc w:val="both"/>
        <w:rPr>
          <w:color w:val="222222"/>
          <w:sz w:val="24"/>
          <w:szCs w:val="24"/>
          <w:shd w:val="clear" w:color="auto" w:fill="FFFFFF"/>
          <w:lang w:val="en-CA"/>
        </w:rPr>
      </w:pPr>
      <w:r w:rsidRPr="00B67F7A">
        <w:rPr>
          <w:i/>
          <w:iCs/>
          <w:color w:val="222222"/>
          <w:sz w:val="24"/>
          <w:szCs w:val="24"/>
          <w:shd w:val="clear" w:color="auto" w:fill="FFFFFF"/>
          <w:lang w:val="en-CA"/>
        </w:rPr>
        <w:t>Globe and Mail</w:t>
      </w:r>
      <w:r w:rsidRPr="00B67F7A">
        <w:rPr>
          <w:color w:val="222222"/>
          <w:sz w:val="24"/>
          <w:szCs w:val="24"/>
          <w:shd w:val="clear" w:color="auto" w:fill="FFFFFF"/>
          <w:lang w:val="en-CA"/>
        </w:rPr>
        <w:t xml:space="preserve">, December 13, 1980, Page 12 </w:t>
      </w:r>
    </w:p>
    <w:p w14:paraId="0192ACDB" w14:textId="77777777" w:rsidR="00B67F7A" w:rsidRPr="00B67F7A" w:rsidRDefault="00B67F7A" w:rsidP="00F90A69">
      <w:pPr>
        <w:tabs>
          <w:tab w:val="left" w:pos="288"/>
        </w:tabs>
        <w:ind w:left="720" w:right="720"/>
        <w:jc w:val="both"/>
        <w:rPr>
          <w:color w:val="222222"/>
          <w:sz w:val="24"/>
          <w:szCs w:val="24"/>
          <w:shd w:val="clear" w:color="auto" w:fill="FFFFFF"/>
          <w:lang w:val="en-CA"/>
        </w:rPr>
      </w:pPr>
    </w:p>
    <w:p w14:paraId="72FDFB7D" w14:textId="77777777" w:rsidR="00B67F7A" w:rsidRPr="00B67F7A" w:rsidRDefault="00B67F7A" w:rsidP="00F90A69">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Handicapped Require Help, Hearing Told</w:t>
      </w:r>
    </w:p>
    <w:p w14:paraId="14A5D184" w14:textId="77777777" w:rsidR="00B67F7A" w:rsidRPr="00B67F7A" w:rsidRDefault="00B67F7A" w:rsidP="00F90A69">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Saturday, December 13, 1980</w:t>
      </w:r>
    </w:p>
    <w:p w14:paraId="38637192" w14:textId="77777777" w:rsidR="00B67F7A" w:rsidRPr="00B67F7A" w:rsidRDefault="00B67F7A" w:rsidP="00F90A69">
      <w:pPr>
        <w:tabs>
          <w:tab w:val="left" w:pos="288"/>
        </w:tabs>
        <w:ind w:left="720" w:right="720"/>
        <w:jc w:val="both"/>
        <w:rPr>
          <w:color w:val="222222"/>
          <w:sz w:val="24"/>
          <w:szCs w:val="24"/>
          <w:shd w:val="clear" w:color="auto" w:fill="FFFFFF"/>
          <w:lang w:val="en-CA"/>
        </w:rPr>
      </w:pPr>
    </w:p>
    <w:p w14:paraId="5A08C5DB" w14:textId="77777777" w:rsidR="00B67F7A" w:rsidRPr="00B67F7A" w:rsidRDefault="00B67F7A" w:rsidP="00F90A69">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Ottawa ONT – OTTAWA (CP) – Blind law student David Lepofsky told the parliamentary constitutional committee yesterday that handicapped people ought to be given constitutional guarantees against the discrimination many laws now inflict on them.</w:t>
      </w:r>
    </w:p>
    <w:p w14:paraId="1D9B37E8" w14:textId="77777777" w:rsidR="00B67F7A" w:rsidRPr="00B67F7A" w:rsidRDefault="00B67F7A" w:rsidP="00F90A69">
      <w:pPr>
        <w:tabs>
          <w:tab w:val="left" w:pos="288"/>
        </w:tabs>
        <w:ind w:left="720" w:right="720"/>
        <w:jc w:val="both"/>
        <w:rPr>
          <w:color w:val="222222"/>
          <w:sz w:val="24"/>
          <w:szCs w:val="24"/>
          <w:shd w:val="clear" w:color="auto" w:fill="FFFFFF"/>
          <w:lang w:val="en-CA"/>
        </w:rPr>
      </w:pPr>
    </w:p>
    <w:p w14:paraId="66BC6E7C" w14:textId="77777777" w:rsidR="00B67F7A" w:rsidRPr="00B67F7A" w:rsidRDefault="00B67F7A" w:rsidP="00F90A69">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Reading his presentation in Braille before the committee, Mr. Lepofsky, a University of Toronto student, said that if the constitution is to guarantee equality before the law, “it must be equality for all and that must include the handicapped.” He was speaking on behalf of a brief presented by the Canadian National Institute for the Blind.</w:t>
      </w:r>
    </w:p>
    <w:p w14:paraId="65E77585" w14:textId="77777777" w:rsidR="00B67F7A" w:rsidRPr="00B67F7A" w:rsidRDefault="00B67F7A" w:rsidP="00F90A69">
      <w:pPr>
        <w:tabs>
          <w:tab w:val="left" w:pos="288"/>
        </w:tabs>
        <w:ind w:left="720" w:right="720"/>
        <w:jc w:val="both"/>
        <w:rPr>
          <w:color w:val="222222"/>
          <w:sz w:val="24"/>
          <w:szCs w:val="24"/>
          <w:shd w:val="clear" w:color="auto" w:fill="FFFFFF"/>
          <w:lang w:val="en-CA"/>
        </w:rPr>
      </w:pPr>
    </w:p>
    <w:p w14:paraId="7B944D6C" w14:textId="77777777" w:rsidR="00B67F7A" w:rsidRPr="00B67F7A" w:rsidRDefault="00B67F7A" w:rsidP="00F90A69">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He said that a section in a proposed charter of human rights that would prohibit discrimination on the grounds of race, national or ethnic origin, color, religion, age or sex should be amended to include “mental or physical handicap.” This would make laws that discriminate against the handicapped unconstitutional.</w:t>
      </w:r>
    </w:p>
    <w:p w14:paraId="036B2DD6" w14:textId="77777777" w:rsidR="00B67F7A" w:rsidRPr="00B67F7A" w:rsidRDefault="00B67F7A" w:rsidP="00F90A69">
      <w:pPr>
        <w:tabs>
          <w:tab w:val="left" w:pos="288"/>
        </w:tabs>
        <w:ind w:left="720" w:right="720"/>
        <w:jc w:val="both"/>
        <w:rPr>
          <w:color w:val="222222"/>
          <w:sz w:val="24"/>
          <w:szCs w:val="24"/>
          <w:shd w:val="clear" w:color="auto" w:fill="FFFFFF"/>
          <w:lang w:val="en-CA"/>
        </w:rPr>
      </w:pPr>
    </w:p>
    <w:p w14:paraId="41CA191F" w14:textId="77777777" w:rsidR="00B67F7A" w:rsidRPr="00B67F7A" w:rsidRDefault="00B67F7A" w:rsidP="00F90A69">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lastRenderedPageBreak/>
        <w:t xml:space="preserve">He said provincial wage laws now shut out handicapped people from their protection, blind people are automatically excluded from juries when sight is not necessary in many trials, marriage laws discriminate against mentally defective people and the </w:t>
      </w:r>
      <w:r w:rsidRPr="00B67F7A">
        <w:rPr>
          <w:i/>
          <w:iCs/>
          <w:color w:val="222222"/>
          <w:sz w:val="24"/>
          <w:szCs w:val="24"/>
          <w:shd w:val="clear" w:color="auto" w:fill="FFFFFF"/>
          <w:lang w:val="en-CA"/>
        </w:rPr>
        <w:t>Family Benefits Act</w:t>
      </w:r>
      <w:r w:rsidRPr="00B67F7A">
        <w:rPr>
          <w:color w:val="222222"/>
          <w:sz w:val="24"/>
          <w:szCs w:val="24"/>
          <w:shd w:val="clear" w:color="auto" w:fill="FFFFFF"/>
          <w:lang w:val="en-CA"/>
        </w:rPr>
        <w:t xml:space="preserve"> of Ontario allows payments for handicapped people to be made to civil servants on their behalf.</w:t>
      </w:r>
      <w:r w:rsidRPr="00B67F7A">
        <w:rPr>
          <w:color w:val="222222"/>
          <w:sz w:val="24"/>
          <w:szCs w:val="24"/>
          <w:shd w:val="clear" w:color="auto" w:fill="FFFFFF"/>
          <w:vertAlign w:val="superscript"/>
          <w:lang w:val="en-CA"/>
        </w:rPr>
        <w:footnoteReference w:id="86"/>
      </w:r>
    </w:p>
    <w:p w14:paraId="0132A4D0" w14:textId="77777777" w:rsidR="00B67F7A" w:rsidRPr="00B67F7A" w:rsidRDefault="00B67F7A" w:rsidP="00C54E8A">
      <w:pPr>
        <w:tabs>
          <w:tab w:val="left" w:pos="288"/>
        </w:tabs>
        <w:jc w:val="both"/>
        <w:rPr>
          <w:color w:val="222222"/>
          <w:sz w:val="24"/>
          <w:szCs w:val="24"/>
          <w:shd w:val="clear" w:color="auto" w:fill="FFFFFF"/>
          <w:lang w:val="en-CA"/>
        </w:rPr>
      </w:pPr>
    </w:p>
    <w:p w14:paraId="0EE97E48" w14:textId="77777777" w:rsidR="00B67F7A" w:rsidRPr="00B67F7A" w:rsidRDefault="00B67F7A" w:rsidP="00C54E8A">
      <w:pPr>
        <w:tabs>
          <w:tab w:val="left" w:pos="288"/>
        </w:tabs>
        <w:jc w:val="both"/>
        <w:rPr>
          <w:color w:val="222222"/>
          <w:sz w:val="24"/>
          <w:szCs w:val="24"/>
          <w:shd w:val="clear" w:color="auto" w:fill="FFFFFF"/>
          <w:lang w:val="en-CA"/>
        </w:rPr>
      </w:pPr>
      <w:r w:rsidRPr="00B67F7A">
        <w:rPr>
          <w:color w:val="222222"/>
          <w:sz w:val="24"/>
          <w:szCs w:val="24"/>
          <w:shd w:val="clear" w:color="auto" w:fill="FFFFFF"/>
          <w:lang w:val="en-CA"/>
        </w:rPr>
        <w:t>Supplementing that coverage were the reruns over that weekend of that Friday’s proceedings on a cable television channel. I happened by luck to stumble upon the rerun of my testimony that Sunday while at home with my parents. What I did not then reflect upon, but now would be ecstatic about, is that such reruns provide a great chance for our message to reach a broader public, at least for the two or three other people across Canada who may watch that television channel! They also could play on the minds of political staffers in Ottawa who were sizing up what they needed to do to respond to the Joint Committee’s public hearings.</w:t>
      </w:r>
    </w:p>
    <w:p w14:paraId="2E9E44E9" w14:textId="77777777" w:rsidR="00B67F7A" w:rsidRPr="00B67F7A" w:rsidRDefault="00B67F7A" w:rsidP="00C54E8A">
      <w:pPr>
        <w:tabs>
          <w:tab w:val="left" w:pos="288"/>
        </w:tabs>
        <w:jc w:val="both"/>
        <w:rPr>
          <w:color w:val="222222"/>
          <w:sz w:val="24"/>
          <w:szCs w:val="24"/>
          <w:shd w:val="clear" w:color="auto" w:fill="FFFFFF"/>
          <w:lang w:val="en-CA"/>
        </w:rPr>
      </w:pPr>
    </w:p>
    <w:p w14:paraId="08C658D4" w14:textId="77777777" w:rsidR="00B67F7A" w:rsidRPr="00F90A69" w:rsidRDefault="00F90A69" w:rsidP="00291786">
      <w:pPr>
        <w:pStyle w:val="Heading2"/>
      </w:pPr>
      <w:bookmarkStart w:id="37" w:name="_heading=h.1yyy98l" w:colFirst="0" w:colLast="0"/>
      <w:bookmarkStart w:id="38" w:name="_Toc132577049"/>
      <w:bookmarkEnd w:id="37"/>
      <w:r w:rsidRPr="00F90A69">
        <w:t xml:space="preserve">Q. </w:t>
      </w:r>
      <w:proofErr w:type="gramStart"/>
      <w:r w:rsidRPr="00F90A69">
        <w:t>Reflecting Back</w:t>
      </w:r>
      <w:proofErr w:type="gramEnd"/>
      <w:r w:rsidRPr="00F90A69">
        <w:t xml:space="preserve"> on That Day</w:t>
      </w:r>
      <w:bookmarkEnd w:id="38"/>
    </w:p>
    <w:p w14:paraId="3C4A855C" w14:textId="77777777" w:rsidR="00B67F7A" w:rsidRPr="00B67F7A" w:rsidRDefault="00F90A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Watching the video of my presentation to the Joint Committee is somewhat challenging for me. My voice sounds higher. My arguments at a technical level covered the ground I needed to cover. My repeated use of the term “handicap,” common in those days but outdated now, makes me flinch. I got the chance to make points that the two prior disability organizations – </w:t>
      </w:r>
      <w:r w:rsidR="00B67F7A" w:rsidRPr="00ED1DD9">
        <w:rPr>
          <w:color w:val="222222"/>
          <w:sz w:val="24"/>
          <w:szCs w:val="24"/>
          <w:shd w:val="clear" w:color="auto" w:fill="FFFFFF"/>
          <w:lang w:val="en-CA"/>
        </w:rPr>
        <w:t>the CAMR</w:t>
      </w:r>
      <w:r w:rsidR="00ED1DD9" w:rsidRPr="00ED1DD9">
        <w:rPr>
          <w:color w:val="222222"/>
          <w:sz w:val="24"/>
          <w:szCs w:val="24"/>
          <w:shd w:val="clear" w:color="auto" w:fill="FFFFFF"/>
          <w:lang w:val="en-CA"/>
        </w:rPr>
        <w:t xml:space="preserve"> and </w:t>
      </w:r>
      <w:r w:rsidR="00B67F7A" w:rsidRPr="00ED1DD9">
        <w:rPr>
          <w:color w:val="222222"/>
          <w:sz w:val="24"/>
          <w:szCs w:val="24"/>
          <w:shd w:val="clear" w:color="auto" w:fill="FFFFFF"/>
          <w:lang w:val="en-CA"/>
        </w:rPr>
        <w:t>COPOH– did</w:t>
      </w:r>
      <w:r w:rsidR="00B67F7A" w:rsidRPr="00B67F7A">
        <w:rPr>
          <w:color w:val="222222"/>
          <w:sz w:val="24"/>
          <w:szCs w:val="24"/>
          <w:shd w:val="clear" w:color="auto" w:fill="FFFFFF"/>
          <w:lang w:val="en-CA"/>
        </w:rPr>
        <w:t xml:space="preserve"> not cover at all or in the same way, though I did not know at the time what they had said. My speaking style was far more reminiscent of a law student who is still trying too hard to sound like a lawyer. Years of public speaking since then have helped, I hope. If I had it to do again, I might be less deferential. I would try to hit home with zippier, readily quotable one-liners. A decade on Twitter has sharpened my pencil, as the outdated saying goes.</w:t>
      </w:r>
    </w:p>
    <w:p w14:paraId="11EAEF6E" w14:textId="77777777" w:rsidR="00B67F7A" w:rsidRPr="00B67F7A" w:rsidRDefault="00F90A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As I prepared and delivered my remarks, I incorrectly assumed that the only thing that could be challenged under section 15 was legislation that discriminates. I did not apply my mind to the fact that one could also challenge any government action that discriminated because of disability. Leaping to my own defence, I plead that, in the dreary federalism cases that we studied in first-year constitutional law, we focused virtually all the time on challenges to legislation and to nothing else. With decades of the </w:t>
      </w:r>
      <w:r w:rsidR="00B67F7A" w:rsidRPr="00B67F7A">
        <w:rPr>
          <w:i/>
          <w:iCs/>
          <w:color w:val="222222"/>
          <w:sz w:val="24"/>
          <w:szCs w:val="24"/>
          <w:shd w:val="clear" w:color="auto" w:fill="FFFFFF"/>
          <w:lang w:val="en-CA"/>
        </w:rPr>
        <w:t>Charter</w:t>
      </w:r>
      <w:r w:rsidR="00B67F7A" w:rsidRPr="00B67F7A">
        <w:rPr>
          <w:color w:val="222222"/>
          <w:sz w:val="24"/>
          <w:szCs w:val="24"/>
          <w:shd w:val="clear" w:color="auto" w:fill="FFFFFF"/>
          <w:lang w:val="en-CA"/>
        </w:rPr>
        <w:t xml:space="preserve"> now under our collective belts, I am keenly aware of the fact that most discrimination that takes place against people with disabilities is not explicitly written into the text of legislation. It takes place in the application of legislation or in the administration of government programs. Had I thought of this in 1980, my catalogue of disability discrimination that could be actionable under the disability amendment would have been longer and stronger. </w:t>
      </w:r>
    </w:p>
    <w:p w14:paraId="7CF01863" w14:textId="77777777" w:rsidR="00B67F7A" w:rsidRPr="00B67F7A" w:rsidRDefault="00F90A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If only I had known in advance that Goldenberg was in the room listening to me. I would have covertly directed my entire argument right at him, even though it would have been worded to sound like I was speaking to the Joint Committee members. In recent years, I have quite consciously done this sort of thing. If it is done correctly, even my chosen target should be left oblivious to this tactic. Today, with the miracle of live streaming in Parliament and YouTube, I have learned to get the video of a parliamentary committee presentation edited, captioned, and posted online as quickly as possible, sometimes within hours of the </w:t>
      </w:r>
      <w:r w:rsidR="00B67F7A" w:rsidRPr="00B67F7A">
        <w:rPr>
          <w:color w:val="222222"/>
          <w:sz w:val="24"/>
          <w:szCs w:val="24"/>
          <w:shd w:val="clear" w:color="auto" w:fill="FFFFFF"/>
          <w:lang w:val="en-CA"/>
        </w:rPr>
        <w:lastRenderedPageBreak/>
        <w:t>big event itself, as Chapter 4 mentioned. Social media can do the rest, leading to hundreds or thousands of online views!</w:t>
      </w:r>
    </w:p>
    <w:p w14:paraId="21E48E78" w14:textId="77777777" w:rsidR="00B67F7A" w:rsidRPr="00B67F7A" w:rsidRDefault="00F90A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That is what we did when I addressed the House of Commons Standing Committee on Human Resources, Skills and Social Development and the Status of Persons with Disabilities on 14 November 2022 on the need to strengthen Bill C-22, the proposed </w:t>
      </w:r>
      <w:r w:rsidR="00B67F7A" w:rsidRPr="00B67F7A">
        <w:rPr>
          <w:i/>
          <w:iCs/>
          <w:color w:val="222222"/>
          <w:sz w:val="24"/>
          <w:szCs w:val="24"/>
          <w:shd w:val="clear" w:color="auto" w:fill="FFFFFF"/>
          <w:lang w:val="en-CA"/>
        </w:rPr>
        <w:t>Canada Disability Benefit Act</w:t>
      </w:r>
      <w:r w:rsidR="00B67F7A" w:rsidRPr="00B67F7A">
        <w:rPr>
          <w:color w:val="222222"/>
          <w:sz w:val="24"/>
          <w:szCs w:val="24"/>
          <w:shd w:val="clear" w:color="auto" w:fill="FFFFFF"/>
          <w:lang w:val="en-CA"/>
        </w:rPr>
        <w:t>.</w:t>
      </w:r>
      <w:r w:rsidR="00B67F7A" w:rsidRPr="00B67F7A">
        <w:rPr>
          <w:color w:val="222222"/>
          <w:sz w:val="24"/>
          <w:szCs w:val="24"/>
          <w:shd w:val="clear" w:color="auto" w:fill="FFFFFF"/>
          <w:vertAlign w:val="superscript"/>
          <w:lang w:val="en-CA"/>
        </w:rPr>
        <w:footnoteReference w:id="87"/>
      </w:r>
      <w:r w:rsidR="00B67F7A" w:rsidRPr="00B67F7A">
        <w:rPr>
          <w:color w:val="222222"/>
          <w:sz w:val="24"/>
          <w:szCs w:val="24"/>
          <w:shd w:val="clear" w:color="auto" w:fill="FFFFFF"/>
          <w:lang w:val="en-CA"/>
        </w:rPr>
        <w:t xml:space="preserve"> My presentation was posted on our YouTube channel with captions, all within hours. Days later, it was sliced, diced, and posted in seven short videos on TikTok. In less than two months, it had been seen in whole or in part over fifteen hundred times. It quickly became the tip of our advocacy spear on that bill. In contrast, the video of my presentation to the Joint Committee on 12 December 1980, posted about ten years ago, has been seen on YouTube over two thousand times.</w:t>
      </w:r>
    </w:p>
    <w:p w14:paraId="583A58D9" w14:textId="77777777" w:rsidR="00B67F7A" w:rsidRPr="00B67F7A" w:rsidRDefault="00F90A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Finally, I always learn a great deal by taking a close and critical look at a speech, legislative committee presentation, or media interview that I have recorded. I always find that there is something I could have done better, and I hope each time to build on that reflection. I tell law students that we call the work of a lawyer “practising law” for a good reason. We should continue practising and practising, trying to eventually learn how to do it right, right up to the day when we take our final leave from the profession. The day you think you know it all and have nothing more to learn is the day you should immediately stop working as a lawyer because that misinformed arrogance will undermine your effectiveness, I warn students.</w:t>
      </w:r>
    </w:p>
    <w:p w14:paraId="516F7311" w14:textId="77777777" w:rsidR="00B67F7A" w:rsidRPr="00B67F7A" w:rsidRDefault="00F90A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In the case of arguments made to support the disability amendment, we can all be proud that we collectively won and that we made a plausible case for it. We also need to be alive to positions that we advanced back then that were erroneous. I am certainly not exempt from this scrutiny! Fortunately, none of these turned out to matter one bit. Once again, no harm, no foul! Each of the three disability organizations that made presentations to the Joint Committee in support of the disability amendment made some remark or other that was, with hindsight, to say the least, not optimal! In Chapter 10, I described how COPOH wrote the Joint Committee on 9 January 1981, urging that physical disability be added to section 15. This contradicted COPOH’s earlier written and oral submissions that called for section 15 to ban discrimination based on all disabilities, not limiting it only to physical disabilities.</w:t>
      </w:r>
      <w:bookmarkStart w:id="39" w:name="x_Start"/>
      <w:bookmarkStart w:id="40" w:name="x_Complete"/>
      <w:bookmarkEnd w:id="39"/>
      <w:bookmarkEnd w:id="40"/>
      <w:r w:rsidR="00B67F7A" w:rsidRPr="00B67F7A">
        <w:rPr>
          <w:color w:val="222222"/>
          <w:sz w:val="24"/>
          <w:szCs w:val="24"/>
          <w:shd w:val="clear" w:color="auto" w:fill="FFFFFF"/>
          <w:lang w:val="en-CA"/>
        </w:rPr>
        <w:t xml:space="preserve"> Since then, the Council of Canadians with Disabilities, COPOH’s revised name, has a proud history of strong inclusive cross-disability advocacy. </w:t>
      </w:r>
    </w:p>
    <w:p w14:paraId="3B9E4524" w14:textId="77777777" w:rsidR="00B67F7A" w:rsidRPr="00B67F7A" w:rsidRDefault="00F90A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As I also explained earlier in Chapter 10, the New Brunswick division of the CAMR took the lead position that section 15 should list no prohibited grounds of discrimination at all. This action, as I showed, would have created barriers and burdens for people with disabilities. However, thankfully, the CAMR’s national leadership took a stronger position in favour of the disability amendment, pure and simple, while the New Brunswick division of the CAMR at least took the fall-back position that, if section 15 is to include a list of prohibited grounds of discrimination, disability should be added to that list. </w:t>
      </w:r>
    </w:p>
    <w:p w14:paraId="41CF5A7B" w14:textId="77777777" w:rsidR="00B67F7A" w:rsidRPr="00B67F7A" w:rsidRDefault="00F90A69" w:rsidP="00C54E8A">
      <w:pPr>
        <w:tabs>
          <w:tab w:val="left" w:pos="288"/>
        </w:tabs>
        <w:jc w:val="both"/>
        <w:rPr>
          <w:color w:val="222222"/>
          <w:sz w:val="24"/>
          <w:szCs w:val="24"/>
          <w:shd w:val="clear" w:color="auto" w:fill="FFFFFF"/>
          <w:lang w:val="en-CA"/>
        </w:rPr>
      </w:pPr>
      <w:r>
        <w:rPr>
          <w:color w:val="222222"/>
          <w:sz w:val="24"/>
          <w:szCs w:val="24"/>
          <w:shd w:val="clear" w:color="auto" w:fill="FFFFFF"/>
          <w:lang w:val="en-CA"/>
        </w:rPr>
        <w:tab/>
      </w:r>
      <w:r w:rsidR="00B67F7A" w:rsidRPr="00B67F7A">
        <w:rPr>
          <w:color w:val="222222"/>
          <w:sz w:val="24"/>
          <w:szCs w:val="24"/>
          <w:shd w:val="clear" w:color="auto" w:fill="FFFFFF"/>
          <w:lang w:val="en-CA"/>
        </w:rPr>
        <w:t xml:space="preserve">For my part, I regret that I proposed that the Joint Committee use the term “unreasonable distinction” in section 15. Since then, I have come to understand that it has not been helpful for the cause of disability when judges, lawyers, and legal scholars talk about discrimination in terms of drawing “distinctions.” In an article in the </w:t>
      </w:r>
      <w:r w:rsidR="00B67F7A" w:rsidRPr="00B67F7A">
        <w:rPr>
          <w:i/>
          <w:iCs/>
          <w:color w:val="222222"/>
          <w:sz w:val="24"/>
          <w:szCs w:val="24"/>
          <w:shd w:val="clear" w:color="auto" w:fill="FFFFFF"/>
          <w:lang w:val="en-CA"/>
        </w:rPr>
        <w:t>Supreme Court Law Review</w:t>
      </w:r>
      <w:r w:rsidR="00B67F7A" w:rsidRPr="00B67F7A">
        <w:rPr>
          <w:color w:val="222222"/>
          <w:sz w:val="24"/>
          <w:szCs w:val="24"/>
          <w:shd w:val="clear" w:color="auto" w:fill="FFFFFF"/>
          <w:lang w:val="en-CA"/>
        </w:rPr>
        <w:t xml:space="preserve">, which I mentioned in Chapter 3 entitled “A Professional </w:t>
      </w:r>
      <w:r w:rsidR="00B67F7A" w:rsidRPr="00B67F7A">
        <w:rPr>
          <w:color w:val="222222"/>
          <w:sz w:val="24"/>
          <w:szCs w:val="24"/>
          <w:shd w:val="clear" w:color="auto" w:fill="FFFFFF"/>
          <w:lang w:val="en-CA"/>
        </w:rPr>
        <w:lastRenderedPageBreak/>
        <w:t xml:space="preserve">Comedian’s Fundamental Right to Publicly Bully a Child Because of His Disability? Scrutinizing </w:t>
      </w:r>
      <w:r w:rsidR="00B67F7A" w:rsidRPr="00B67F7A">
        <w:rPr>
          <w:i/>
          <w:iCs/>
          <w:color w:val="222222"/>
          <w:sz w:val="24"/>
          <w:szCs w:val="24"/>
          <w:shd w:val="clear" w:color="auto" w:fill="FFFFFF"/>
          <w:lang w:val="en-CA"/>
        </w:rPr>
        <w:t>Ward v. Quebec Human Rights Commission</w:t>
      </w:r>
      <w:r w:rsidR="00B67F7A" w:rsidRPr="00B67F7A">
        <w:rPr>
          <w:color w:val="222222"/>
          <w:sz w:val="24"/>
          <w:szCs w:val="24"/>
          <w:shd w:val="clear" w:color="auto" w:fill="FFFFFF"/>
          <w:lang w:val="en-CA"/>
        </w:rPr>
        <w:t xml:space="preserve"> through a Disability Lens,” I summarized my thoughts on this terminology as follows:</w:t>
      </w:r>
    </w:p>
    <w:p w14:paraId="4ACF09CF" w14:textId="77777777" w:rsidR="00B67F7A" w:rsidRPr="00B67F7A" w:rsidRDefault="00B67F7A" w:rsidP="00C54E8A">
      <w:pPr>
        <w:tabs>
          <w:tab w:val="left" w:pos="288"/>
        </w:tabs>
        <w:jc w:val="both"/>
        <w:rPr>
          <w:color w:val="222222"/>
          <w:sz w:val="24"/>
          <w:szCs w:val="24"/>
          <w:shd w:val="clear" w:color="auto" w:fill="FFFFFF"/>
          <w:lang w:val="en-CA"/>
        </w:rPr>
      </w:pPr>
    </w:p>
    <w:p w14:paraId="03B81DF9" w14:textId="77777777" w:rsidR="00B67F7A" w:rsidRPr="00B67F7A" w:rsidRDefault="00B67F7A" w:rsidP="00F90A69">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Ward is the latest in a long line of Supreme Court cases that assesses whether a person’s equality rights were violated and whether they were subject to discrimination by asking if a distinction was drawn against them on protected grounds such as disability. This erroneous “drawing distinctions” formulation has for years misdirected the equality/discrimination analysis.</w:t>
      </w:r>
    </w:p>
    <w:p w14:paraId="49628FC8" w14:textId="77777777" w:rsidR="00B67F7A" w:rsidRPr="00B67F7A" w:rsidRDefault="00B67F7A" w:rsidP="00F90A69">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 xml:space="preserve">People with disabilities do not experience discrimination as a government or private actor “drawing a distinction” against them. When the Toronto Transit Commission refused to reliably announce each bus or subway stop for the benefit of blind passengers like me, we did not decry: “TTC drew a distinction against me.” This is instead experienced as a denial of a right or opportunity, as subjection to a burden, or as encountering a barrier to full participation and full benefit. </w:t>
      </w:r>
    </w:p>
    <w:p w14:paraId="4C31149A" w14:textId="2372207E" w:rsidR="00D3504F" w:rsidRPr="00B416CE" w:rsidRDefault="00B67F7A" w:rsidP="00B416CE">
      <w:pPr>
        <w:tabs>
          <w:tab w:val="left" w:pos="288"/>
        </w:tabs>
        <w:ind w:left="720" w:right="720"/>
        <w:jc w:val="both"/>
        <w:rPr>
          <w:color w:val="222222"/>
          <w:sz w:val="24"/>
          <w:szCs w:val="24"/>
          <w:shd w:val="clear" w:color="auto" w:fill="FFFFFF"/>
          <w:lang w:val="en-CA"/>
        </w:rPr>
      </w:pPr>
      <w:r w:rsidRPr="00B67F7A">
        <w:rPr>
          <w:color w:val="222222"/>
          <w:sz w:val="24"/>
          <w:szCs w:val="24"/>
          <w:shd w:val="clear" w:color="auto" w:fill="FFFFFF"/>
          <w:lang w:val="en-CA"/>
        </w:rPr>
        <w:t xml:space="preserve">I am not being picky about wording. From a student’s first week in law school, they learn about distinguishing cases, as they struggle to understand stare decisis. The drawing of distinctions is not what equality in Charter Section </w:t>
      </w:r>
      <w:proofErr w:type="gramStart"/>
      <w:r w:rsidRPr="00B67F7A">
        <w:rPr>
          <w:color w:val="222222"/>
          <w:sz w:val="24"/>
          <w:szCs w:val="24"/>
          <w:shd w:val="clear" w:color="auto" w:fill="FFFFFF"/>
          <w:lang w:val="en-CA"/>
        </w:rPr>
        <w:t>15</w:t>
      </w:r>
      <w:proofErr w:type="gramEnd"/>
      <w:r w:rsidRPr="00B67F7A">
        <w:rPr>
          <w:color w:val="222222"/>
          <w:sz w:val="24"/>
          <w:szCs w:val="24"/>
          <w:shd w:val="clear" w:color="auto" w:fill="FFFFFF"/>
          <w:lang w:val="en-CA"/>
        </w:rPr>
        <w:t xml:space="preserve"> or its Quebec Charter counterpart are about.</w:t>
      </w:r>
      <w:r w:rsidRPr="00B67F7A">
        <w:rPr>
          <w:color w:val="222222"/>
          <w:sz w:val="24"/>
          <w:szCs w:val="24"/>
          <w:shd w:val="clear" w:color="auto" w:fill="FFFFFF"/>
          <w:vertAlign w:val="superscript"/>
          <w:lang w:val="en-CA"/>
        </w:rPr>
        <w:footnoteReference w:id="88"/>
      </w:r>
      <w:r w:rsidRPr="00B67F7A">
        <w:rPr>
          <w:color w:val="222222"/>
          <w:sz w:val="24"/>
          <w:szCs w:val="24"/>
          <w:shd w:val="clear" w:color="auto" w:fill="FFFFFF"/>
          <w:lang w:val="en-CA"/>
        </w:rPr>
        <w:t xml:space="preserve"> </w:t>
      </w:r>
      <w:bookmarkStart w:id="41" w:name="_heading=h.4iylrwe" w:colFirst="0" w:colLast="0"/>
      <w:bookmarkEnd w:id="41"/>
    </w:p>
    <w:sectPr w:rsidR="00D3504F" w:rsidRPr="00B416CE" w:rsidSect="00E976F9">
      <w:headerReference w:type="even" r:id="rId12"/>
      <w:headerReference w:type="default" r:id="rId13"/>
      <w:footerReference w:type="first" r:id="rId14"/>
      <w:pgSz w:w="12240" w:h="15840"/>
      <w:pgMar w:top="1440" w:right="1077" w:bottom="1440" w:left="1077" w:header="2160" w:footer="216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BF8A9" w14:textId="77777777" w:rsidR="00514125" w:rsidRDefault="00514125">
      <w:r>
        <w:separator/>
      </w:r>
    </w:p>
  </w:endnote>
  <w:endnote w:type="continuationSeparator" w:id="0">
    <w:p w14:paraId="0D2B1FA4" w14:textId="77777777" w:rsidR="00514125" w:rsidRDefault="00514125">
      <w:r>
        <w:continuationSeparator/>
      </w:r>
    </w:p>
  </w:endnote>
  <w:endnote w:type="continuationNotice" w:id="1">
    <w:p w14:paraId="4D2CF4E8" w14:textId="77777777" w:rsidR="00514125" w:rsidRDefault="00514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altName w:val="Georgia"/>
    <w:panose1 w:val="02040502050405020303"/>
    <w:charset w:val="01"/>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D0F5B" w14:textId="77777777" w:rsidR="00D3504F" w:rsidRDefault="00D3504F">
    <w:pPr>
      <w:pBdr>
        <w:top w:val="nil"/>
        <w:left w:val="nil"/>
        <w:bottom w:val="nil"/>
        <w:right w:val="nil"/>
        <w:between w:val="nil"/>
      </w:pBdr>
      <w:tabs>
        <w:tab w:val="center" w:pos="4680"/>
        <w:tab w:val="right" w:pos="9360"/>
        <w:tab w:val="right" w:pos="6653"/>
      </w:tabs>
      <w:ind w:left="1440" w:right="-576"/>
      <w:jc w:val="center"/>
      <w:rPr>
        <w:color w:val="000000"/>
      </w:rPr>
    </w:pPr>
  </w:p>
  <w:p w14:paraId="7122D8D1" w14:textId="77777777" w:rsidR="00D3504F" w:rsidRDefault="00DC461B">
    <w:pPr>
      <w:pBdr>
        <w:top w:val="nil"/>
        <w:left w:val="nil"/>
        <w:bottom w:val="nil"/>
        <w:right w:val="nil"/>
        <w:between w:val="nil"/>
      </w:pBdr>
      <w:tabs>
        <w:tab w:val="center" w:pos="4680"/>
        <w:tab w:val="right" w:pos="9360"/>
        <w:tab w:val="right" w:pos="6653"/>
      </w:tabs>
      <w:ind w:left="1440" w:right="-576"/>
      <w:jc w:val="center"/>
      <w:rPr>
        <w:color w:val="000000"/>
        <w:sz w:val="24"/>
        <w:szCs w:val="24"/>
      </w:rPr>
    </w:pPr>
    <w:r>
      <w:rPr>
        <w:color w:val="000000"/>
        <w:sz w:val="24"/>
        <w:szCs w:val="24"/>
      </w:rPr>
      <w:tab/>
    </w:r>
    <w:r w:rsidR="008463C4">
      <w:rPr>
        <w:color w:val="000000"/>
        <w:sz w:val="24"/>
        <w:szCs w:val="24"/>
      </w:rPr>
      <w:t>(202</w:t>
    </w:r>
    <w:r w:rsidR="00BD2628">
      <w:rPr>
        <w:color w:val="000000"/>
        <w:sz w:val="24"/>
        <w:szCs w:val="24"/>
      </w:rPr>
      <w:t>3</w:t>
    </w:r>
    <w:r w:rsidR="008463C4">
      <w:rPr>
        <w:color w:val="000000"/>
        <w:sz w:val="24"/>
        <w:szCs w:val="24"/>
      </w:rPr>
      <w:t>) 3</w:t>
    </w:r>
    <w:r w:rsidR="00BD2628">
      <w:rPr>
        <w:color w:val="000000"/>
        <w:sz w:val="24"/>
        <w:szCs w:val="24"/>
      </w:rPr>
      <w:t xml:space="preserve">9 </w:t>
    </w:r>
    <w:r w:rsidR="008463C4">
      <w:rPr>
        <w:color w:val="000000"/>
        <w:sz w:val="24"/>
        <w:szCs w:val="24"/>
      </w:rPr>
      <w:t xml:space="preserve">Windsor Y B Access Just </w:t>
    </w:r>
    <w:r w:rsidR="008463C4">
      <w:rPr>
        <w:color w:val="000000"/>
        <w:sz w:val="24"/>
        <w:szCs w:val="24"/>
      </w:rP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5F58D" w14:textId="77777777" w:rsidR="00514125" w:rsidRDefault="00514125">
      <w:r>
        <w:separator/>
      </w:r>
    </w:p>
  </w:footnote>
  <w:footnote w:type="continuationSeparator" w:id="0">
    <w:p w14:paraId="6F4A1045" w14:textId="77777777" w:rsidR="00514125" w:rsidRDefault="00514125">
      <w:r>
        <w:continuationSeparator/>
      </w:r>
    </w:p>
  </w:footnote>
  <w:footnote w:type="continuationNotice" w:id="1">
    <w:p w14:paraId="6547B848" w14:textId="77777777" w:rsidR="00514125" w:rsidRDefault="00514125"/>
  </w:footnote>
  <w:footnote w:id="2">
    <w:p w14:paraId="31C767E7" w14:textId="77777777" w:rsidR="00B67F7A" w:rsidRPr="008D14BD" w:rsidRDefault="00B67F7A" w:rsidP="008D0B6B">
      <w:pPr>
        <w:pBdr>
          <w:top w:val="nil"/>
          <w:left w:val="nil"/>
          <w:bottom w:val="nil"/>
          <w:right w:val="nil"/>
          <w:between w:val="nil"/>
        </w:pBdr>
        <w:tabs>
          <w:tab w:val="left" w:pos="346"/>
        </w:tabs>
        <w:ind w:left="360" w:hanging="360"/>
      </w:pPr>
      <w:r w:rsidRPr="008D14BD">
        <w:rPr>
          <w:vertAlign w:val="superscript"/>
        </w:rPr>
        <w:footnoteRef/>
      </w:r>
      <w:r w:rsidRPr="008D14BD">
        <w:t xml:space="preserve"> </w:t>
      </w:r>
      <w:r w:rsidR="008D0B6B">
        <w:tab/>
      </w:r>
      <w:r w:rsidRPr="008D14BD">
        <w:rPr>
          <w:shd w:val="clear" w:color="auto" w:fill="FFFFFF"/>
        </w:rPr>
        <w:t xml:space="preserve">Canada, Parliament, </w:t>
      </w:r>
      <w:r w:rsidRPr="008D14BD">
        <w:rPr>
          <w:rStyle w:val="Emphasis"/>
          <w:shd w:val="clear" w:color="auto" w:fill="FFFFFF"/>
        </w:rPr>
        <w:t>Minutes of Proceedings and Evidence of the Special Joint Committee of the Senate and of the House of Commons on the Constitution of Canada</w:t>
      </w:r>
      <w:r w:rsidRPr="008D14BD">
        <w:rPr>
          <w:shd w:val="clear" w:color="auto" w:fill="FFFFFF"/>
        </w:rPr>
        <w:t>, 32nd Parl, 1st Sess, No 9 (20 November 1980</w:t>
      </w:r>
      <w:r w:rsidRPr="008D14BD">
        <w:t>) at 75</w:t>
      </w:r>
      <w:r>
        <w:t>.</w:t>
      </w:r>
      <w:r w:rsidRPr="008D14BD">
        <w:t xml:space="preserve"> </w:t>
      </w:r>
    </w:p>
  </w:footnote>
  <w:footnote w:id="3">
    <w:p w14:paraId="49E9E4EE" w14:textId="77777777" w:rsidR="00B67F7A" w:rsidRPr="008D14BD" w:rsidRDefault="00B67F7A" w:rsidP="008D0B6B">
      <w:pPr>
        <w:pStyle w:val="FootnoteText"/>
        <w:tabs>
          <w:tab w:val="left" w:pos="346"/>
        </w:tabs>
        <w:ind w:left="360" w:hanging="360"/>
      </w:pPr>
      <w:r w:rsidRPr="008D14BD">
        <w:rPr>
          <w:rStyle w:val="FootnoteReference"/>
        </w:rPr>
        <w:footnoteRef/>
      </w:r>
      <w:r w:rsidRPr="008D14BD">
        <w:t xml:space="preserve"> </w:t>
      </w:r>
      <w:r w:rsidR="008D0B6B">
        <w:tab/>
      </w:r>
      <w:r w:rsidRPr="008D14BD">
        <w:rPr>
          <w:shd w:val="clear" w:color="auto" w:fill="FFFFFF"/>
        </w:rPr>
        <w:t xml:space="preserve">Canada, Parliament, </w:t>
      </w:r>
      <w:r w:rsidRPr="008D14BD">
        <w:rPr>
          <w:rStyle w:val="Emphasis"/>
          <w:shd w:val="clear" w:color="auto" w:fill="FFFFFF"/>
        </w:rPr>
        <w:t>Minutes of Proceedings and Evidence of the Special Joint Committee of the Senate and of the House of Commons on the Constitution of Canada</w:t>
      </w:r>
      <w:r w:rsidRPr="008D14BD">
        <w:rPr>
          <w:shd w:val="clear" w:color="auto" w:fill="FFFFFF"/>
        </w:rPr>
        <w:t>, 32nd Parl, 1st Sess, No 25 (12 December 1980)</w:t>
      </w:r>
      <w:r w:rsidRPr="008D14BD">
        <w:t xml:space="preserve"> at 5 [</w:t>
      </w:r>
      <w:r w:rsidRPr="008D14BD">
        <w:rPr>
          <w:rStyle w:val="Emphasis"/>
          <w:shd w:val="clear" w:color="auto" w:fill="FFFFFF"/>
        </w:rPr>
        <w:t>Minutes of Proceedings, 12 December 1980]</w:t>
      </w:r>
      <w:r w:rsidRPr="008D14BD">
        <w:t xml:space="preserve">. </w:t>
      </w:r>
    </w:p>
  </w:footnote>
  <w:footnote w:id="4">
    <w:p w14:paraId="2D005A66" w14:textId="77777777" w:rsidR="00B67F7A" w:rsidRPr="00FD651F" w:rsidRDefault="00B67F7A" w:rsidP="00F767A1">
      <w:pPr>
        <w:pStyle w:val="FootnoteText"/>
        <w:tabs>
          <w:tab w:val="left" w:pos="346"/>
        </w:tabs>
      </w:pPr>
      <w:r w:rsidRPr="008D14BD">
        <w:rPr>
          <w:rStyle w:val="FootnoteReference"/>
        </w:rPr>
        <w:footnoteRef/>
      </w:r>
      <w:r w:rsidRPr="008D14BD">
        <w:t xml:space="preserve"> </w:t>
      </w:r>
      <w:r w:rsidR="00E17093">
        <w:tab/>
      </w:r>
      <w:r w:rsidRPr="008D14BD">
        <w:rPr>
          <w:i/>
          <w:iCs/>
        </w:rPr>
        <w:t>Human Rights Code</w:t>
      </w:r>
      <w:r w:rsidRPr="008D14BD">
        <w:t>, RSO 1990, c H-19.</w:t>
      </w:r>
    </w:p>
  </w:footnote>
  <w:footnote w:id="5">
    <w:p w14:paraId="0198D007"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E17093">
        <w:tab/>
      </w:r>
      <w:r w:rsidRPr="008D14BD">
        <w:rPr>
          <w:rStyle w:val="Emphasis"/>
          <w:shd w:val="clear" w:color="auto" w:fill="FFFFFF"/>
        </w:rPr>
        <w:t>Minutes of Proceedings, 12 December 1980, supra note 2</w:t>
      </w:r>
      <w:r w:rsidRPr="008D14BD">
        <w:rPr>
          <w:i/>
        </w:rPr>
        <w:t xml:space="preserve"> </w:t>
      </w:r>
      <w:r w:rsidRPr="008D14BD">
        <w:rPr>
          <w:iCs/>
        </w:rPr>
        <w:t>at</w:t>
      </w:r>
      <w:r w:rsidRPr="008D14BD">
        <w:t xml:space="preserve"> 5.</w:t>
      </w:r>
    </w:p>
  </w:footnote>
  <w:footnote w:id="6">
    <w:p w14:paraId="5E714F45"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E17093">
        <w:tab/>
      </w:r>
      <w:r w:rsidRPr="008D14BD">
        <w:rPr>
          <w:i/>
        </w:rPr>
        <w:t xml:space="preserve">Ibid </w:t>
      </w:r>
      <w:r w:rsidRPr="008D14BD">
        <w:rPr>
          <w:iCs/>
        </w:rPr>
        <w:t>at</w:t>
      </w:r>
      <w:r w:rsidRPr="008D14BD">
        <w:t xml:space="preserve"> 6–7. </w:t>
      </w:r>
    </w:p>
  </w:footnote>
  <w:footnote w:id="7">
    <w:p w14:paraId="3BFAE2C9"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E17093">
        <w:tab/>
      </w:r>
      <w:r w:rsidRPr="008D14BD">
        <w:rPr>
          <w:i/>
        </w:rPr>
        <w:t>Ibid</w:t>
      </w:r>
      <w:r w:rsidRPr="008D14BD">
        <w:rPr>
          <w:iCs/>
        </w:rPr>
        <w:t xml:space="preserve"> at </w:t>
      </w:r>
      <w:r w:rsidRPr="008D14BD">
        <w:t xml:space="preserve">5. </w:t>
      </w:r>
    </w:p>
  </w:footnote>
  <w:footnote w:id="8">
    <w:p w14:paraId="22DAFA5C"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E17093">
        <w:tab/>
      </w:r>
      <w:r w:rsidRPr="008D14BD">
        <w:rPr>
          <w:i/>
        </w:rPr>
        <w:t>Ibid</w:t>
      </w:r>
      <w:r w:rsidRPr="008D14BD">
        <w:t xml:space="preserve">. </w:t>
      </w:r>
    </w:p>
  </w:footnote>
  <w:footnote w:id="9">
    <w:p w14:paraId="45C35DE2"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E17093">
        <w:tab/>
      </w:r>
      <w:r w:rsidRPr="008D14BD">
        <w:rPr>
          <w:i/>
        </w:rPr>
        <w:t>Ibid</w:t>
      </w:r>
      <w:r w:rsidRPr="008D14BD">
        <w:t>.</w:t>
      </w:r>
    </w:p>
  </w:footnote>
  <w:footnote w:id="10">
    <w:p w14:paraId="72F5855C"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E17093">
        <w:tab/>
      </w:r>
      <w:r w:rsidRPr="008D14BD">
        <w:rPr>
          <w:i/>
        </w:rPr>
        <w:t>Ibid</w:t>
      </w:r>
      <w:r w:rsidRPr="008D14BD">
        <w:rPr>
          <w:iCs/>
        </w:rPr>
        <w:t xml:space="preserve"> at </w:t>
      </w:r>
      <w:r w:rsidRPr="008D14BD">
        <w:t>6.</w:t>
      </w:r>
    </w:p>
  </w:footnote>
  <w:footnote w:id="11">
    <w:p w14:paraId="500A0797"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E17093">
        <w:tab/>
      </w:r>
      <w:r w:rsidRPr="008D14BD">
        <w:rPr>
          <w:i/>
        </w:rPr>
        <w:t>Ibid</w:t>
      </w:r>
      <w:r w:rsidRPr="008D14BD">
        <w:t>.</w:t>
      </w:r>
    </w:p>
  </w:footnote>
  <w:footnote w:id="12">
    <w:p w14:paraId="2BD21EB9"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E17093">
        <w:tab/>
      </w:r>
      <w:r w:rsidRPr="008D14BD">
        <w:rPr>
          <w:i/>
        </w:rPr>
        <w:t>Ibid</w:t>
      </w:r>
      <w:r w:rsidRPr="008D14BD">
        <w:t>.</w:t>
      </w:r>
    </w:p>
  </w:footnote>
  <w:footnote w:id="13">
    <w:p w14:paraId="36F16424" w14:textId="77777777" w:rsidR="00B67F7A" w:rsidRPr="008D14BD" w:rsidRDefault="00B67F7A" w:rsidP="00F767A1">
      <w:pPr>
        <w:pStyle w:val="FootnoteText"/>
        <w:tabs>
          <w:tab w:val="left" w:pos="346"/>
        </w:tabs>
      </w:pPr>
      <w:r w:rsidRPr="008D14BD">
        <w:rPr>
          <w:rStyle w:val="FootnoteReference"/>
        </w:rPr>
        <w:footnoteRef/>
      </w:r>
      <w:r w:rsidRPr="008D14BD">
        <w:rPr>
          <w:i/>
        </w:rPr>
        <w:t xml:space="preserve"> </w:t>
      </w:r>
      <w:r w:rsidR="00E17093">
        <w:rPr>
          <w:i/>
        </w:rPr>
        <w:tab/>
      </w:r>
      <w:r w:rsidRPr="008D14BD">
        <w:rPr>
          <w:i/>
        </w:rPr>
        <w:t>Ibid</w:t>
      </w:r>
      <w:r w:rsidRPr="008D14BD">
        <w:t>.</w:t>
      </w:r>
    </w:p>
  </w:footnote>
  <w:footnote w:id="14">
    <w:p w14:paraId="659B971C"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E17093">
        <w:tab/>
      </w:r>
      <w:r w:rsidRPr="008D14BD">
        <w:rPr>
          <w:i/>
        </w:rPr>
        <w:t>Ibid</w:t>
      </w:r>
      <w:r w:rsidRPr="008D14BD">
        <w:t>.</w:t>
      </w:r>
    </w:p>
  </w:footnote>
  <w:footnote w:id="15">
    <w:p w14:paraId="1D010BCE"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E17093">
        <w:tab/>
      </w:r>
      <w:r w:rsidRPr="00A538D9">
        <w:rPr>
          <w:i/>
        </w:rPr>
        <w:t>Ibid</w:t>
      </w:r>
      <w:r w:rsidRPr="008D14BD">
        <w:rPr>
          <w:iCs/>
        </w:rPr>
        <w:t xml:space="preserve"> at </w:t>
      </w:r>
      <w:r w:rsidRPr="00A538D9">
        <w:t>6–7.</w:t>
      </w:r>
    </w:p>
  </w:footnote>
  <w:footnote w:id="16">
    <w:p w14:paraId="4C2E9043"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E17093">
        <w:tab/>
      </w:r>
      <w:r w:rsidRPr="00A538D9">
        <w:rPr>
          <w:i/>
        </w:rPr>
        <w:t>Ibid</w:t>
      </w:r>
      <w:r w:rsidRPr="008D14BD">
        <w:rPr>
          <w:iCs/>
        </w:rPr>
        <w:t xml:space="preserve"> at </w:t>
      </w:r>
      <w:r w:rsidRPr="00A538D9">
        <w:t xml:space="preserve">5, 14. </w:t>
      </w:r>
    </w:p>
  </w:footnote>
  <w:footnote w:id="17">
    <w:p w14:paraId="31613D8C"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5B57F0">
        <w:tab/>
      </w:r>
      <w:r w:rsidRPr="00A538D9">
        <w:rPr>
          <w:i/>
        </w:rPr>
        <w:t xml:space="preserve">Ibid </w:t>
      </w:r>
      <w:r w:rsidRPr="008D14BD">
        <w:rPr>
          <w:iCs/>
        </w:rPr>
        <w:t>at</w:t>
      </w:r>
      <w:r w:rsidRPr="00A538D9">
        <w:t xml:space="preserve"> 7.</w:t>
      </w:r>
    </w:p>
  </w:footnote>
  <w:footnote w:id="18">
    <w:p w14:paraId="7A82EA37"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5B57F0">
        <w:tab/>
      </w:r>
      <w:r w:rsidRPr="00A538D9">
        <w:rPr>
          <w:i/>
        </w:rPr>
        <w:t>Ibid</w:t>
      </w:r>
      <w:r w:rsidRPr="00A538D9">
        <w:t>.</w:t>
      </w:r>
    </w:p>
  </w:footnote>
  <w:footnote w:id="19">
    <w:p w14:paraId="0B602F54"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5B57F0">
        <w:tab/>
      </w:r>
      <w:r w:rsidRPr="00A538D9">
        <w:rPr>
          <w:i/>
        </w:rPr>
        <w:t>Ibid</w:t>
      </w:r>
      <w:r w:rsidRPr="00A538D9">
        <w:t>.</w:t>
      </w:r>
    </w:p>
  </w:footnote>
  <w:footnote w:id="20">
    <w:p w14:paraId="04045A00"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5B57F0">
        <w:tab/>
      </w:r>
      <w:r w:rsidRPr="00A538D9">
        <w:rPr>
          <w:i/>
        </w:rPr>
        <w:t>Ibid</w:t>
      </w:r>
      <w:r w:rsidRPr="00A538D9">
        <w:t>.</w:t>
      </w:r>
    </w:p>
  </w:footnote>
  <w:footnote w:id="21">
    <w:p w14:paraId="35FD531F"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5B57F0">
        <w:tab/>
      </w:r>
      <w:r w:rsidRPr="00A538D9">
        <w:rPr>
          <w:i/>
        </w:rPr>
        <w:t>Ibid</w:t>
      </w:r>
      <w:r w:rsidRPr="00A538D9">
        <w:t>.</w:t>
      </w:r>
    </w:p>
  </w:footnote>
  <w:footnote w:id="22">
    <w:p w14:paraId="526A8AAD"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5B57F0">
        <w:tab/>
      </w:r>
      <w:r w:rsidRPr="00A538D9">
        <w:rPr>
          <w:i/>
        </w:rPr>
        <w:t>Ibid</w:t>
      </w:r>
      <w:r w:rsidRPr="008D14BD">
        <w:rPr>
          <w:iCs/>
        </w:rPr>
        <w:t xml:space="preserve"> at </w:t>
      </w:r>
      <w:r w:rsidRPr="00A538D9">
        <w:t xml:space="preserve">8. </w:t>
      </w:r>
    </w:p>
  </w:footnote>
  <w:footnote w:id="23">
    <w:p w14:paraId="5C56F473"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5B57F0">
        <w:tab/>
      </w:r>
      <w:r w:rsidRPr="00A538D9">
        <w:rPr>
          <w:i/>
        </w:rPr>
        <w:t>Ibid</w:t>
      </w:r>
      <w:r w:rsidRPr="008D14BD">
        <w:rPr>
          <w:iCs/>
        </w:rPr>
        <w:t xml:space="preserve"> at </w:t>
      </w:r>
      <w:r w:rsidRPr="00A538D9">
        <w:t>8–9.</w:t>
      </w:r>
    </w:p>
  </w:footnote>
  <w:footnote w:id="24">
    <w:p w14:paraId="0EECC54F"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5B57F0">
        <w:tab/>
      </w:r>
      <w:r w:rsidRPr="00A538D9">
        <w:rPr>
          <w:i/>
        </w:rPr>
        <w:t>Ibid</w:t>
      </w:r>
      <w:r w:rsidRPr="008D14BD">
        <w:rPr>
          <w:iCs/>
        </w:rPr>
        <w:t xml:space="preserve"> at </w:t>
      </w:r>
      <w:r w:rsidRPr="00A538D9">
        <w:t>8.</w:t>
      </w:r>
    </w:p>
  </w:footnote>
  <w:footnote w:id="25">
    <w:p w14:paraId="2C5A1FE6"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5B57F0">
        <w:tab/>
      </w:r>
      <w:r w:rsidRPr="00A538D9">
        <w:rPr>
          <w:i/>
        </w:rPr>
        <w:t>Ibid</w:t>
      </w:r>
      <w:r w:rsidRPr="00A538D9">
        <w:t>.</w:t>
      </w:r>
    </w:p>
  </w:footnote>
  <w:footnote w:id="26">
    <w:p w14:paraId="188676E0"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5B57F0">
        <w:tab/>
      </w:r>
      <w:r w:rsidRPr="00A538D9">
        <w:rPr>
          <w:i/>
        </w:rPr>
        <w:t>Ibid</w:t>
      </w:r>
      <w:r w:rsidRPr="00A538D9">
        <w:t>.</w:t>
      </w:r>
    </w:p>
  </w:footnote>
  <w:footnote w:id="27">
    <w:p w14:paraId="798B2B50" w14:textId="77777777" w:rsidR="00B67F7A" w:rsidRPr="00A538D9" w:rsidRDefault="00B67F7A" w:rsidP="00F767A1">
      <w:pPr>
        <w:pStyle w:val="FootnoteText"/>
        <w:tabs>
          <w:tab w:val="left" w:pos="346"/>
        </w:tabs>
      </w:pPr>
      <w:r w:rsidRPr="008D14BD">
        <w:rPr>
          <w:rStyle w:val="FootnoteReference"/>
        </w:rPr>
        <w:footnoteRef/>
      </w:r>
      <w:r w:rsidRPr="00A538D9">
        <w:t xml:space="preserve"> </w:t>
      </w:r>
      <w:r w:rsidR="005B57F0">
        <w:tab/>
      </w:r>
      <w:r w:rsidRPr="00A538D9">
        <w:rPr>
          <w:i/>
        </w:rPr>
        <w:t>Ibid</w:t>
      </w:r>
      <w:r w:rsidRPr="008D14BD">
        <w:rPr>
          <w:iCs/>
        </w:rPr>
        <w:t xml:space="preserve"> at </w:t>
      </w:r>
      <w:r w:rsidRPr="00A538D9">
        <w:t xml:space="preserve">9. </w:t>
      </w:r>
    </w:p>
  </w:footnote>
  <w:footnote w:id="28">
    <w:p w14:paraId="6B09A840"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t>.</w:t>
      </w:r>
    </w:p>
  </w:footnote>
  <w:footnote w:id="29">
    <w:p w14:paraId="6C8899C1"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t>.</w:t>
      </w:r>
    </w:p>
  </w:footnote>
  <w:footnote w:id="30">
    <w:p w14:paraId="4F7F80B7" w14:textId="77777777" w:rsidR="00B67F7A" w:rsidRPr="008D14BD" w:rsidRDefault="00B67F7A" w:rsidP="00F767A1">
      <w:pPr>
        <w:pStyle w:val="FootnoteText"/>
        <w:tabs>
          <w:tab w:val="left" w:pos="346"/>
        </w:tabs>
      </w:pPr>
      <w:r w:rsidRPr="008D14BD">
        <w:rPr>
          <w:rStyle w:val="FootnoteReference"/>
        </w:rPr>
        <w:footnoteRef/>
      </w:r>
      <w:r>
        <w:rPr>
          <w:i/>
        </w:rPr>
        <w:t xml:space="preserve"> </w:t>
      </w:r>
      <w:r w:rsidR="005B57F0">
        <w:rPr>
          <w:i/>
        </w:rPr>
        <w:tab/>
      </w:r>
      <w:r w:rsidRPr="008D14BD">
        <w:rPr>
          <w:i/>
        </w:rPr>
        <w:t>Ibid</w:t>
      </w:r>
      <w:r w:rsidRPr="008D14BD">
        <w:t>.</w:t>
      </w:r>
    </w:p>
  </w:footnote>
  <w:footnote w:id="31">
    <w:p w14:paraId="6979D334" w14:textId="77777777" w:rsidR="00B67F7A" w:rsidRPr="008D14BD" w:rsidRDefault="00B67F7A" w:rsidP="005B57F0">
      <w:pPr>
        <w:pBdr>
          <w:top w:val="nil"/>
          <w:left w:val="nil"/>
          <w:bottom w:val="nil"/>
          <w:right w:val="nil"/>
          <w:between w:val="nil"/>
        </w:pBdr>
        <w:tabs>
          <w:tab w:val="left" w:pos="346"/>
        </w:tabs>
        <w:ind w:left="360" w:hanging="360"/>
      </w:pPr>
      <w:r w:rsidRPr="008D14BD">
        <w:rPr>
          <w:vertAlign w:val="superscript"/>
        </w:rPr>
        <w:footnoteRef/>
      </w:r>
      <w:r w:rsidRPr="008D14BD">
        <w:t xml:space="preserve"> </w:t>
      </w:r>
      <w:r w:rsidR="005B57F0">
        <w:tab/>
      </w:r>
      <w:r w:rsidRPr="008D14BD">
        <w:t xml:space="preserve">David Lepofsky, “Equality Rights of Persons with Disabilities: Canadian and International Perspectives” in KE Mahoney &amp; P Mahoney, eds, </w:t>
      </w:r>
      <w:r w:rsidRPr="008D14BD">
        <w:rPr>
          <w:i/>
          <w:iCs/>
        </w:rPr>
        <w:t>Human Rights in the Twenty-first Century</w:t>
      </w:r>
      <w:r w:rsidRPr="008D14BD">
        <w:t xml:space="preserve"> (</w:t>
      </w:r>
      <w:r w:rsidRPr="006C67F2">
        <w:t>Dordrecht</w:t>
      </w:r>
      <w:r w:rsidRPr="008D14BD">
        <w:t>: Kluwer Academic Publishers, 1992) at 169.</w:t>
      </w:r>
    </w:p>
  </w:footnote>
  <w:footnote w:id="32">
    <w:p w14:paraId="01A87339" w14:textId="77777777" w:rsidR="00B67F7A" w:rsidRPr="008D14BD" w:rsidRDefault="00B67F7A" w:rsidP="00F767A1">
      <w:pPr>
        <w:pStyle w:val="FootnoteText"/>
        <w:tabs>
          <w:tab w:val="left" w:pos="346"/>
        </w:tabs>
        <w:rPr>
          <w:shd w:val="clear" w:color="auto" w:fill="FFFFFF"/>
        </w:rPr>
      </w:pPr>
      <w:r w:rsidRPr="008D14BD">
        <w:rPr>
          <w:rStyle w:val="FootnoteReference"/>
        </w:rPr>
        <w:footnoteRef/>
      </w:r>
      <w:r w:rsidRPr="008D14BD">
        <w:t xml:space="preserve"> </w:t>
      </w:r>
      <w:r w:rsidR="005B57F0">
        <w:tab/>
      </w:r>
      <w:r w:rsidRPr="008D14BD">
        <w:rPr>
          <w:rStyle w:val="Emphasis"/>
          <w:shd w:val="clear" w:color="auto" w:fill="FFFFFF"/>
        </w:rPr>
        <w:t>Minutes of Proceedings, 12 December 1980, supra note 2</w:t>
      </w:r>
      <w:r w:rsidRPr="008D14BD">
        <w:rPr>
          <w:i/>
        </w:rPr>
        <w:t xml:space="preserve"> </w:t>
      </w:r>
      <w:r w:rsidRPr="008D14BD">
        <w:rPr>
          <w:iCs/>
        </w:rPr>
        <w:t xml:space="preserve">at </w:t>
      </w:r>
      <w:r w:rsidRPr="008D14BD">
        <w:t xml:space="preserve">10. </w:t>
      </w:r>
    </w:p>
  </w:footnote>
  <w:footnote w:id="33">
    <w:p w14:paraId="3658F274"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rPr>
          <w:iCs/>
        </w:rPr>
        <w:t xml:space="preserve"> at </w:t>
      </w:r>
      <w:r w:rsidRPr="008D14BD">
        <w:t>10.</w:t>
      </w:r>
    </w:p>
  </w:footnote>
  <w:footnote w:id="34">
    <w:p w14:paraId="0D5A0E15" w14:textId="77777777" w:rsidR="00B67F7A" w:rsidRPr="008D14BD" w:rsidRDefault="00B67F7A" w:rsidP="00F767A1">
      <w:pPr>
        <w:pStyle w:val="FootnoteText"/>
        <w:tabs>
          <w:tab w:val="left" w:pos="346"/>
        </w:tabs>
      </w:pPr>
      <w:r w:rsidRPr="008D14BD">
        <w:rPr>
          <w:rStyle w:val="FootnoteReference"/>
        </w:rPr>
        <w:footnoteRef/>
      </w:r>
      <w:r w:rsidR="005B57F0">
        <w:rPr>
          <w:i/>
        </w:rPr>
        <w:t xml:space="preserve"> </w:t>
      </w:r>
      <w:r w:rsidR="005B57F0">
        <w:rPr>
          <w:i/>
        </w:rPr>
        <w:tab/>
      </w:r>
      <w:r w:rsidRPr="008D14BD">
        <w:rPr>
          <w:i/>
        </w:rPr>
        <w:t>Ibid</w:t>
      </w:r>
      <w:r w:rsidRPr="008D14BD">
        <w:t>.</w:t>
      </w:r>
    </w:p>
  </w:footnote>
  <w:footnote w:id="35">
    <w:p w14:paraId="52DAF493" w14:textId="77777777" w:rsidR="00B67F7A" w:rsidRPr="00A538D9" w:rsidRDefault="00B67F7A" w:rsidP="005B57F0">
      <w:pPr>
        <w:pStyle w:val="FootnoteText"/>
        <w:tabs>
          <w:tab w:val="left" w:pos="346"/>
        </w:tabs>
        <w:ind w:left="360" w:hanging="360"/>
        <w:rPr>
          <w:b/>
          <w:highlight w:val="cyan"/>
        </w:rPr>
      </w:pPr>
      <w:r w:rsidRPr="008D14BD">
        <w:rPr>
          <w:rStyle w:val="FootnoteReference"/>
        </w:rPr>
        <w:footnoteRef/>
      </w:r>
      <w:r w:rsidRPr="008D14BD">
        <w:t xml:space="preserve"> </w:t>
      </w:r>
      <w:r w:rsidR="005B57F0">
        <w:tab/>
      </w:r>
      <w:r w:rsidRPr="008D14BD">
        <w:t xml:space="preserve">See </w:t>
      </w:r>
      <w:r>
        <w:t xml:space="preserve">Statistics Canada, </w:t>
      </w:r>
      <w:r w:rsidRPr="00764D6A">
        <w:t>“New Data on Disability in Canada, 2017”</w:t>
      </w:r>
      <w:r w:rsidRPr="008D14BD">
        <w:t xml:space="preserve"> </w:t>
      </w:r>
      <w:r>
        <w:t xml:space="preserve">(2018), </w:t>
      </w:r>
      <w:r w:rsidRPr="008D14BD">
        <w:t xml:space="preserve">online: </w:t>
      </w:r>
      <w:r w:rsidRPr="008D14BD">
        <w:rPr>
          <w:i/>
          <w:iCs/>
        </w:rPr>
        <w:t>Statcan</w:t>
      </w:r>
      <w:r w:rsidRPr="008D14BD">
        <w:t xml:space="preserve"> &lt;</w:t>
      </w:r>
      <w:r w:rsidRPr="00FD651F">
        <w:t>www150.statcan.gc.ca/n1/pub/11-627-m/11-627-m2018035-eng.htm</w:t>
      </w:r>
      <w:r w:rsidRPr="008D14BD">
        <w:t xml:space="preserve">&gt;. </w:t>
      </w:r>
    </w:p>
  </w:footnote>
  <w:footnote w:id="36">
    <w:p w14:paraId="34E5870A"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rStyle w:val="Emphasis"/>
          <w:shd w:val="clear" w:color="auto" w:fill="FFFFFF"/>
        </w:rPr>
        <w:t>Minutes of Proceedings, 12 December 1980, supra note 2</w:t>
      </w:r>
      <w:r w:rsidRPr="008D14BD">
        <w:rPr>
          <w:i/>
        </w:rPr>
        <w:t xml:space="preserve"> </w:t>
      </w:r>
      <w:r w:rsidRPr="008D14BD">
        <w:rPr>
          <w:iCs/>
        </w:rPr>
        <w:t xml:space="preserve">at </w:t>
      </w:r>
      <w:r w:rsidRPr="008D14BD">
        <w:t xml:space="preserve">10–12. </w:t>
      </w:r>
    </w:p>
  </w:footnote>
  <w:footnote w:id="37">
    <w:p w14:paraId="647A6A17"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rPr>
          <w:iCs/>
        </w:rPr>
        <w:t xml:space="preserve"> at </w:t>
      </w:r>
      <w:r w:rsidRPr="008D14BD">
        <w:t>10.</w:t>
      </w:r>
    </w:p>
  </w:footnote>
  <w:footnote w:id="38">
    <w:p w14:paraId="4744DDEE"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t>.</w:t>
      </w:r>
    </w:p>
  </w:footnote>
  <w:footnote w:id="39">
    <w:p w14:paraId="3802CAAE"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rPr>
          <w:iCs/>
        </w:rPr>
        <w:t xml:space="preserve"> at </w:t>
      </w:r>
      <w:r w:rsidRPr="008D14BD">
        <w:t>10–11.</w:t>
      </w:r>
    </w:p>
  </w:footnote>
  <w:footnote w:id="40">
    <w:p w14:paraId="5E26392B"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rPr>
          <w:iCs/>
        </w:rPr>
        <w:t xml:space="preserve"> at </w:t>
      </w:r>
      <w:r w:rsidRPr="008D14BD">
        <w:t xml:space="preserve">11. </w:t>
      </w:r>
    </w:p>
  </w:footnote>
  <w:footnote w:id="41">
    <w:p w14:paraId="7B6C1D28"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t xml:space="preserve">; </w:t>
      </w:r>
      <w:r w:rsidRPr="008D14BD">
        <w:rPr>
          <w:i/>
        </w:rPr>
        <w:t>British North America Act</w:t>
      </w:r>
      <w:r w:rsidRPr="008D14BD">
        <w:rPr>
          <w:i/>
          <w:iCs/>
        </w:rPr>
        <w:t>, 1867</w:t>
      </w:r>
      <w:r w:rsidRPr="008D14BD">
        <w:t xml:space="preserve"> (UK), 30–31 Vict, c 3.</w:t>
      </w:r>
    </w:p>
  </w:footnote>
  <w:footnote w:id="42">
    <w:p w14:paraId="7DA76F01"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rStyle w:val="Emphasis"/>
          <w:shd w:val="clear" w:color="auto" w:fill="FFFFFF"/>
        </w:rPr>
        <w:t>Minutes of Proceedings, 12 December 1980, supra note 2</w:t>
      </w:r>
      <w:r w:rsidRPr="008D14BD">
        <w:rPr>
          <w:i/>
        </w:rPr>
        <w:t xml:space="preserve"> </w:t>
      </w:r>
      <w:r w:rsidRPr="008D14BD">
        <w:rPr>
          <w:iCs/>
        </w:rPr>
        <w:t xml:space="preserve">at </w:t>
      </w:r>
      <w:r w:rsidRPr="008D14BD">
        <w:t>11.</w:t>
      </w:r>
    </w:p>
  </w:footnote>
  <w:footnote w:id="43">
    <w:p w14:paraId="1B5A73B9"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t>.</w:t>
      </w:r>
    </w:p>
  </w:footnote>
  <w:footnote w:id="44">
    <w:p w14:paraId="78164B82"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t>.</w:t>
      </w:r>
    </w:p>
  </w:footnote>
  <w:footnote w:id="45">
    <w:p w14:paraId="0A5BA920"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t>.</w:t>
      </w:r>
    </w:p>
  </w:footnote>
  <w:footnote w:id="46">
    <w:p w14:paraId="7973DD81"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Ibid</w:t>
      </w:r>
      <w:r w:rsidRPr="008D14BD">
        <w:rPr>
          <w:iCs/>
        </w:rPr>
        <w:t xml:space="preserve"> at </w:t>
      </w:r>
      <w:r w:rsidRPr="008D14BD">
        <w:t xml:space="preserve">12. </w:t>
      </w:r>
    </w:p>
  </w:footnote>
  <w:footnote w:id="47">
    <w:p w14:paraId="6D05967F"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5B57F0">
        <w:tab/>
      </w:r>
      <w:r w:rsidRPr="008D14BD">
        <w:rPr>
          <w:i/>
        </w:rPr>
        <w:t>Lepofsky v Toronto Transit Commission</w:t>
      </w:r>
      <w:r w:rsidRPr="008D14BD">
        <w:t xml:space="preserve">, 2007 HRTO 41; </w:t>
      </w:r>
      <w:r w:rsidRPr="00FD651F">
        <w:rPr>
          <w:i/>
          <w:iCs/>
        </w:rPr>
        <w:t>Lepofsky v Toronto Transit Commission</w:t>
      </w:r>
      <w:r w:rsidRPr="008D14BD">
        <w:t xml:space="preserve">, 2005 HRTO 20. </w:t>
      </w:r>
    </w:p>
  </w:footnote>
  <w:footnote w:id="48">
    <w:p w14:paraId="0A6B7110" w14:textId="77777777" w:rsidR="00B67F7A" w:rsidRPr="008369AE" w:rsidRDefault="00B67F7A" w:rsidP="00832C24">
      <w:pPr>
        <w:tabs>
          <w:tab w:val="left" w:pos="346"/>
        </w:tabs>
        <w:ind w:left="360" w:hanging="360"/>
        <w:rPr>
          <w:b/>
          <w:bCs/>
        </w:rPr>
      </w:pPr>
      <w:r w:rsidRPr="008D14BD">
        <w:rPr>
          <w:rStyle w:val="FootnoteReference"/>
        </w:rPr>
        <w:footnoteRef/>
      </w:r>
      <w:r w:rsidRPr="008D14BD">
        <w:t xml:space="preserve"> </w:t>
      </w:r>
      <w:r w:rsidR="00832C24">
        <w:tab/>
      </w:r>
      <w:r w:rsidRPr="008D14BD">
        <w:t xml:space="preserve">David Lepofsky, “Waste of Public Funds to Oppose Accessibility,” </w:t>
      </w:r>
      <w:r w:rsidRPr="008D14BD">
        <w:rPr>
          <w:i/>
          <w:iCs/>
        </w:rPr>
        <w:t>Toronto Star</w:t>
      </w:r>
      <w:r w:rsidRPr="008D14BD">
        <w:t xml:space="preserve"> (22 November 2007), online: </w:t>
      </w:r>
      <w:r w:rsidRPr="008369AE">
        <w:t>&lt;</w:t>
      </w:r>
      <w:r w:rsidRPr="00A538D9">
        <w:t>www.thestar.com/opinion/2007/11/22/waste_of_public_funds_to_oppose_accessibility.html</w:t>
      </w:r>
      <w:r w:rsidRPr="008369AE">
        <w:t xml:space="preserve">&gt;. </w:t>
      </w:r>
    </w:p>
  </w:footnote>
  <w:footnote w:id="49">
    <w:p w14:paraId="56DD2E14"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832C24">
        <w:tab/>
      </w:r>
      <w:r w:rsidRPr="008D14BD">
        <w:rPr>
          <w:rStyle w:val="Emphasis"/>
          <w:shd w:val="clear" w:color="auto" w:fill="FFFFFF"/>
        </w:rPr>
        <w:t>Minutes of Proceedings, 12 December 1980, supra note 2</w:t>
      </w:r>
      <w:r w:rsidRPr="008D14BD">
        <w:rPr>
          <w:i/>
        </w:rPr>
        <w:t xml:space="preserve"> </w:t>
      </w:r>
      <w:r w:rsidRPr="008D14BD">
        <w:rPr>
          <w:iCs/>
        </w:rPr>
        <w:t xml:space="preserve">at </w:t>
      </w:r>
      <w:r w:rsidRPr="008D14BD">
        <w:t xml:space="preserve">12. </w:t>
      </w:r>
    </w:p>
  </w:footnote>
  <w:footnote w:id="50">
    <w:p w14:paraId="7E3DA91A"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832C24">
        <w:tab/>
      </w:r>
      <w:r w:rsidRPr="008D14BD">
        <w:rPr>
          <w:i/>
        </w:rPr>
        <w:t>Ibid</w:t>
      </w:r>
      <w:r w:rsidRPr="008D14BD">
        <w:rPr>
          <w:iCs/>
        </w:rPr>
        <w:t xml:space="preserve"> at </w:t>
      </w:r>
      <w:r w:rsidRPr="008D14BD">
        <w:t>12–13.</w:t>
      </w:r>
    </w:p>
  </w:footnote>
  <w:footnote w:id="51">
    <w:p w14:paraId="1E8D439B"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832C24">
        <w:tab/>
      </w:r>
      <w:r w:rsidRPr="008D14BD">
        <w:rPr>
          <w:i/>
        </w:rPr>
        <w:t>Ibid</w:t>
      </w:r>
      <w:r w:rsidRPr="008D14BD">
        <w:rPr>
          <w:iCs/>
        </w:rPr>
        <w:t xml:space="preserve"> at </w:t>
      </w:r>
      <w:r w:rsidRPr="008D14BD">
        <w:t>12.</w:t>
      </w:r>
    </w:p>
  </w:footnote>
  <w:footnote w:id="52">
    <w:p w14:paraId="2C676036"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832C24">
        <w:tab/>
      </w:r>
      <w:r w:rsidRPr="008D14BD">
        <w:rPr>
          <w:i/>
        </w:rPr>
        <w:t>Ibid</w:t>
      </w:r>
      <w:r w:rsidRPr="008D14BD">
        <w:t>.</w:t>
      </w:r>
    </w:p>
  </w:footnote>
  <w:footnote w:id="53">
    <w:p w14:paraId="14E2B55C"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832C24">
        <w:tab/>
      </w:r>
      <w:r w:rsidRPr="008D14BD">
        <w:rPr>
          <w:i/>
        </w:rPr>
        <w:t>Ibid</w:t>
      </w:r>
      <w:r w:rsidRPr="008D14BD">
        <w:t>.</w:t>
      </w:r>
    </w:p>
  </w:footnote>
  <w:footnote w:id="54">
    <w:p w14:paraId="585457AC"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832C24">
        <w:tab/>
      </w:r>
      <w:r w:rsidRPr="008D14BD">
        <w:rPr>
          <w:i/>
        </w:rPr>
        <w:t>Ibid</w:t>
      </w:r>
      <w:r w:rsidRPr="008D14BD">
        <w:t>.</w:t>
      </w:r>
    </w:p>
  </w:footnote>
  <w:footnote w:id="55">
    <w:p w14:paraId="36B445BD"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832C24">
        <w:tab/>
      </w:r>
      <w:r w:rsidRPr="008D14BD">
        <w:rPr>
          <w:i/>
        </w:rPr>
        <w:t>Ibid</w:t>
      </w:r>
      <w:r w:rsidRPr="008D14BD">
        <w:rPr>
          <w:iCs/>
        </w:rPr>
        <w:t xml:space="preserve"> at </w:t>
      </w:r>
      <w:r w:rsidRPr="008D14BD">
        <w:t>12–13.</w:t>
      </w:r>
    </w:p>
  </w:footnote>
  <w:footnote w:id="56">
    <w:p w14:paraId="3CE43ED9" w14:textId="77777777" w:rsidR="00B67F7A" w:rsidRPr="008D14BD" w:rsidRDefault="00B67F7A" w:rsidP="00832C24">
      <w:pPr>
        <w:tabs>
          <w:tab w:val="left" w:pos="346"/>
        </w:tabs>
        <w:ind w:left="360" w:hanging="360"/>
      </w:pPr>
      <w:r w:rsidRPr="008D14BD">
        <w:rPr>
          <w:rStyle w:val="FootnoteReference"/>
        </w:rPr>
        <w:footnoteRef/>
      </w:r>
      <w:r w:rsidRPr="008D14BD">
        <w:t xml:space="preserve"> </w:t>
      </w:r>
      <w:r w:rsidR="00832C24">
        <w:tab/>
      </w:r>
      <w:r w:rsidRPr="008D14BD">
        <w:t xml:space="preserve">See e.g. </w:t>
      </w:r>
      <w:r w:rsidRPr="008D14BD">
        <w:rPr>
          <w:i/>
          <w:iCs/>
        </w:rPr>
        <w:t>Canada (Director of Investigation &amp; Research, Combines Investigation Branch) v Southam Inc</w:t>
      </w:r>
      <w:r w:rsidRPr="00FD651F">
        <w:t>,</w:t>
      </w:r>
      <w:r w:rsidRPr="008D14BD">
        <w:rPr>
          <w:i/>
          <w:iCs/>
        </w:rPr>
        <w:t xml:space="preserve"> </w:t>
      </w:r>
      <w:r w:rsidRPr="008D14BD">
        <w:t xml:space="preserve">[1984] 2 SCR 145 at paras 1, 17–19, [1984] SCJ No 36; </w:t>
      </w:r>
      <w:r w:rsidRPr="008D14BD">
        <w:rPr>
          <w:i/>
          <w:iCs/>
        </w:rPr>
        <w:t>R v Oakes</w:t>
      </w:r>
      <w:r w:rsidRPr="008D14BD">
        <w:t xml:space="preserve">, [1986] 1 SCR 103 at paras 62–80, [1986] SCJ No 7; </w:t>
      </w:r>
      <w:r w:rsidRPr="008D14BD">
        <w:rPr>
          <w:i/>
          <w:iCs/>
        </w:rPr>
        <w:t>R v Big M Drug Mart Ltd</w:t>
      </w:r>
      <w:r w:rsidRPr="00FD651F">
        <w:t>,</w:t>
      </w:r>
      <w:r w:rsidRPr="008D14BD">
        <w:t xml:space="preserve"> [1985] 1 SCR 295 at paras 137–</w:t>
      </w:r>
      <w:r>
        <w:t>1</w:t>
      </w:r>
      <w:r w:rsidRPr="008D14BD">
        <w:t>43, [1985] SCJ No 17 (QL).</w:t>
      </w:r>
    </w:p>
  </w:footnote>
  <w:footnote w:id="57">
    <w:p w14:paraId="1B4BE6D9"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832C24">
        <w:tab/>
      </w:r>
      <w:r w:rsidRPr="008D14BD">
        <w:rPr>
          <w:rStyle w:val="Emphasis"/>
          <w:shd w:val="clear" w:color="auto" w:fill="FFFFFF"/>
        </w:rPr>
        <w:t>Minutes of Proceedings, 12 December 1980, supra note 2</w:t>
      </w:r>
      <w:r w:rsidRPr="008D14BD">
        <w:rPr>
          <w:i/>
        </w:rPr>
        <w:t xml:space="preserve"> </w:t>
      </w:r>
      <w:r w:rsidRPr="008D14BD">
        <w:rPr>
          <w:iCs/>
        </w:rPr>
        <w:t xml:space="preserve">at </w:t>
      </w:r>
      <w:r w:rsidRPr="008D14BD">
        <w:t xml:space="preserve">13. </w:t>
      </w:r>
    </w:p>
  </w:footnote>
  <w:footnote w:id="58">
    <w:p w14:paraId="49E3C868"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832C24">
        <w:tab/>
      </w:r>
      <w:r w:rsidRPr="008D14BD">
        <w:rPr>
          <w:i/>
        </w:rPr>
        <w:t>Ibid</w:t>
      </w:r>
      <w:r w:rsidRPr="008D14BD">
        <w:rPr>
          <w:iCs/>
        </w:rPr>
        <w:t xml:space="preserve"> at </w:t>
      </w:r>
      <w:r w:rsidRPr="008D14BD">
        <w:t>13.</w:t>
      </w:r>
    </w:p>
  </w:footnote>
  <w:footnote w:id="59">
    <w:p w14:paraId="428C12C0"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832C24">
        <w:tab/>
      </w:r>
      <w:r w:rsidRPr="008D14BD">
        <w:rPr>
          <w:i/>
        </w:rPr>
        <w:t>Ibid</w:t>
      </w:r>
      <w:r w:rsidRPr="008D14BD">
        <w:t>.</w:t>
      </w:r>
    </w:p>
  </w:footnote>
  <w:footnote w:id="60">
    <w:p w14:paraId="12B828D8"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832C24">
        <w:tab/>
      </w:r>
      <w:r w:rsidRPr="008D14BD">
        <w:rPr>
          <w:i/>
        </w:rPr>
        <w:t>Ibid</w:t>
      </w:r>
      <w:r w:rsidRPr="008D14BD">
        <w:t xml:space="preserve">. </w:t>
      </w:r>
    </w:p>
  </w:footnote>
  <w:footnote w:id="61">
    <w:p w14:paraId="3E0398D2"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C069C9">
        <w:tab/>
      </w:r>
      <w:r w:rsidRPr="008D14BD">
        <w:rPr>
          <w:i/>
        </w:rPr>
        <w:t>Ibid</w:t>
      </w:r>
      <w:r w:rsidRPr="008D14BD">
        <w:t>.</w:t>
      </w:r>
    </w:p>
  </w:footnote>
  <w:footnote w:id="62">
    <w:p w14:paraId="2B0A8C87" w14:textId="77777777" w:rsidR="00B67F7A" w:rsidRPr="008D14BD" w:rsidRDefault="00B67F7A" w:rsidP="00034FD0">
      <w:pPr>
        <w:pStyle w:val="FootnoteText"/>
        <w:tabs>
          <w:tab w:val="left" w:pos="346"/>
        </w:tabs>
        <w:ind w:left="360" w:hanging="360"/>
      </w:pPr>
      <w:r w:rsidRPr="008D14BD">
        <w:rPr>
          <w:rStyle w:val="FootnoteReference"/>
        </w:rPr>
        <w:footnoteRef/>
      </w:r>
      <w:r w:rsidRPr="008D14BD">
        <w:t xml:space="preserve"> </w:t>
      </w:r>
      <w:r w:rsidR="00C069C9">
        <w:tab/>
      </w:r>
      <w:r w:rsidRPr="008D14BD">
        <w:t xml:space="preserve">See </w:t>
      </w:r>
      <w:r w:rsidRPr="008D14BD">
        <w:rPr>
          <w:i/>
          <w:iCs/>
        </w:rPr>
        <w:t>Canadian Charter of Rights and Freedoms</w:t>
      </w:r>
      <w:r w:rsidRPr="00D34637">
        <w:t xml:space="preserve">, </w:t>
      </w:r>
      <w:r w:rsidRPr="008D14BD">
        <w:t xml:space="preserve">Part 1 of the </w:t>
      </w:r>
      <w:r w:rsidRPr="008D14BD">
        <w:rPr>
          <w:i/>
          <w:iCs/>
        </w:rPr>
        <w:t xml:space="preserve">Constitution Act, 1982, </w:t>
      </w:r>
      <w:r w:rsidRPr="008D14BD">
        <w:t xml:space="preserve">being Schedule B to the </w:t>
      </w:r>
      <w:r w:rsidRPr="008D14BD">
        <w:rPr>
          <w:i/>
          <w:iCs/>
        </w:rPr>
        <w:t xml:space="preserve">Canada Act 1982 </w:t>
      </w:r>
      <w:r w:rsidRPr="008D14BD">
        <w:t xml:space="preserve">(UK), 1982, c 11, s 14; </w:t>
      </w:r>
      <w:r w:rsidRPr="008D14BD">
        <w:rPr>
          <w:shd w:val="clear" w:color="auto" w:fill="FFFFFF"/>
        </w:rPr>
        <w:t xml:space="preserve">Canada, Parliament, </w:t>
      </w:r>
      <w:r w:rsidRPr="008D14BD">
        <w:rPr>
          <w:rStyle w:val="Emphasis"/>
          <w:shd w:val="clear" w:color="auto" w:fill="FFFFFF"/>
        </w:rPr>
        <w:t>Minutes of Proceedings and Evidence of the Special Joint Committee of the Senate and of the House of Commons on the Constitution of Canada</w:t>
      </w:r>
      <w:r w:rsidRPr="008D14BD">
        <w:rPr>
          <w:shd w:val="clear" w:color="auto" w:fill="FFFFFF"/>
        </w:rPr>
        <w:t xml:space="preserve">, 32nd Parl, 1st Sess, No 47 (28 January 1981) at </w:t>
      </w:r>
      <w:r w:rsidRPr="008D14BD">
        <w:t>8.</w:t>
      </w:r>
    </w:p>
  </w:footnote>
  <w:footnote w:id="63">
    <w:p w14:paraId="4EBDE185"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rStyle w:val="Emphasis"/>
          <w:shd w:val="clear" w:color="auto" w:fill="FFFFFF"/>
        </w:rPr>
        <w:t>Minutes of Proceedings, 12 December 1980, supra note 2</w:t>
      </w:r>
      <w:r w:rsidRPr="008D14BD">
        <w:rPr>
          <w:i/>
        </w:rPr>
        <w:t xml:space="preserve"> </w:t>
      </w:r>
      <w:r w:rsidRPr="008D14BD">
        <w:rPr>
          <w:iCs/>
        </w:rPr>
        <w:t xml:space="preserve">at </w:t>
      </w:r>
      <w:r w:rsidRPr="008D14BD">
        <w:t>13.</w:t>
      </w:r>
    </w:p>
  </w:footnote>
  <w:footnote w:id="64">
    <w:p w14:paraId="65819A49" w14:textId="77777777" w:rsidR="00B67F7A" w:rsidRPr="008D14BD" w:rsidRDefault="00B67F7A" w:rsidP="00034FD0">
      <w:pPr>
        <w:pStyle w:val="FootnoteText"/>
        <w:tabs>
          <w:tab w:val="left" w:pos="346"/>
        </w:tabs>
        <w:ind w:left="360" w:hanging="360"/>
      </w:pPr>
      <w:r w:rsidRPr="008D14BD">
        <w:rPr>
          <w:rStyle w:val="FootnoteReference"/>
        </w:rPr>
        <w:footnoteRef/>
      </w:r>
      <w:r w:rsidRPr="008D14BD">
        <w:t xml:space="preserve"> </w:t>
      </w:r>
      <w:r w:rsidR="00034FD0">
        <w:tab/>
      </w:r>
      <w:r w:rsidRPr="00A538D9">
        <w:rPr>
          <w:shd w:val="clear" w:color="auto" w:fill="FFFFFF"/>
        </w:rPr>
        <w:t xml:space="preserve">Canada, Parliament, </w:t>
      </w:r>
      <w:r w:rsidRPr="00A538D9">
        <w:rPr>
          <w:i/>
          <w:iCs/>
        </w:rPr>
        <w:t>The Canadian Constitution: 1980, Proposed Resolution Respecting the Constitution of Canada</w:t>
      </w:r>
      <w:r w:rsidRPr="00A538D9">
        <w:t xml:space="preserve"> (Ottawa: Government of Canada, 1980)</w:t>
      </w:r>
      <w:r>
        <w:t xml:space="preserve"> at</w:t>
      </w:r>
      <w:r w:rsidRPr="008D14BD">
        <w:t xml:space="preserve"> 20. </w:t>
      </w:r>
    </w:p>
  </w:footnote>
  <w:footnote w:id="65">
    <w:p w14:paraId="3808BCBC"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rStyle w:val="Emphasis"/>
          <w:shd w:val="clear" w:color="auto" w:fill="FFFFFF"/>
        </w:rPr>
        <w:t>Minutes of Proceedings, 12 December 1980, supra note 2</w:t>
      </w:r>
      <w:r w:rsidRPr="008D14BD">
        <w:rPr>
          <w:i/>
        </w:rPr>
        <w:t xml:space="preserve"> </w:t>
      </w:r>
      <w:r w:rsidRPr="008D14BD">
        <w:rPr>
          <w:iCs/>
        </w:rPr>
        <w:t xml:space="preserve">at </w:t>
      </w:r>
      <w:r w:rsidRPr="008D14BD">
        <w:t>13.</w:t>
      </w:r>
    </w:p>
  </w:footnote>
  <w:footnote w:id="66">
    <w:p w14:paraId="423D4673"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rPr>
          <w:iCs/>
        </w:rPr>
        <w:t xml:space="preserve"> at </w:t>
      </w:r>
      <w:r w:rsidRPr="008D14BD">
        <w:t xml:space="preserve">14. </w:t>
      </w:r>
    </w:p>
  </w:footnote>
  <w:footnote w:id="67">
    <w:p w14:paraId="43C46E90"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t xml:space="preserve">. </w:t>
      </w:r>
    </w:p>
  </w:footnote>
  <w:footnote w:id="68">
    <w:p w14:paraId="61D25A69"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rPr>
          <w:iCs/>
        </w:rPr>
        <w:t xml:space="preserve"> at </w:t>
      </w:r>
      <w:r w:rsidRPr="008D14BD">
        <w:t xml:space="preserve">15. </w:t>
      </w:r>
    </w:p>
  </w:footnote>
  <w:footnote w:id="69">
    <w:p w14:paraId="5DE34EA7"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t xml:space="preserve">. </w:t>
      </w:r>
    </w:p>
  </w:footnote>
  <w:footnote w:id="70">
    <w:p w14:paraId="744D34B5"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t xml:space="preserve">. </w:t>
      </w:r>
    </w:p>
  </w:footnote>
  <w:footnote w:id="71">
    <w:p w14:paraId="50EBEE00"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rPr>
          <w:iCs/>
        </w:rPr>
        <w:t xml:space="preserve"> at </w:t>
      </w:r>
      <w:r w:rsidRPr="008D14BD">
        <w:t xml:space="preserve">16. </w:t>
      </w:r>
    </w:p>
  </w:footnote>
  <w:footnote w:id="72">
    <w:p w14:paraId="061665B9"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t xml:space="preserve">. </w:t>
      </w:r>
    </w:p>
  </w:footnote>
  <w:footnote w:id="73">
    <w:p w14:paraId="24491704"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t xml:space="preserve">. </w:t>
      </w:r>
    </w:p>
  </w:footnote>
  <w:footnote w:id="74">
    <w:p w14:paraId="2304BFC2"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rPr>
          <w:iCs/>
        </w:rPr>
        <w:t xml:space="preserve"> at </w:t>
      </w:r>
      <w:r w:rsidRPr="008D14BD">
        <w:t xml:space="preserve">16–17. </w:t>
      </w:r>
    </w:p>
  </w:footnote>
  <w:footnote w:id="75">
    <w:p w14:paraId="083D3E03"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rPr>
          <w:iCs/>
        </w:rPr>
        <w:t xml:space="preserve"> at </w:t>
      </w:r>
      <w:r w:rsidRPr="008D14BD">
        <w:t xml:space="preserve">17. </w:t>
      </w:r>
    </w:p>
  </w:footnote>
  <w:footnote w:id="76">
    <w:p w14:paraId="3080A5F9" w14:textId="77777777" w:rsidR="00B67F7A" w:rsidRPr="008D14BD" w:rsidRDefault="00B67F7A" w:rsidP="00F767A1">
      <w:pPr>
        <w:pStyle w:val="FootnoteText"/>
        <w:tabs>
          <w:tab w:val="left" w:pos="346"/>
        </w:tabs>
      </w:pPr>
      <w:r w:rsidRPr="008D14BD">
        <w:rPr>
          <w:rStyle w:val="FootnoteReference"/>
        </w:rPr>
        <w:footnoteRef/>
      </w:r>
      <w:r w:rsidRPr="008D14BD">
        <w:rPr>
          <w:i/>
        </w:rPr>
        <w:t xml:space="preserve"> </w:t>
      </w:r>
      <w:r w:rsidR="00034FD0">
        <w:rPr>
          <w:i/>
        </w:rPr>
        <w:tab/>
      </w:r>
      <w:r w:rsidRPr="008D14BD">
        <w:rPr>
          <w:i/>
        </w:rPr>
        <w:t>Ibid</w:t>
      </w:r>
      <w:r w:rsidRPr="008D14BD">
        <w:t xml:space="preserve">. </w:t>
      </w:r>
    </w:p>
  </w:footnote>
  <w:footnote w:id="77">
    <w:p w14:paraId="526C13BA"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iCs/>
        </w:rPr>
        <w:t>Human Rights Code</w:t>
      </w:r>
      <w:r w:rsidRPr="008D14BD">
        <w:t xml:space="preserve">, </w:t>
      </w:r>
      <w:r w:rsidRPr="008D14BD">
        <w:rPr>
          <w:i/>
          <w:iCs/>
        </w:rPr>
        <w:t xml:space="preserve">supra </w:t>
      </w:r>
      <w:r w:rsidRPr="008D14BD">
        <w:t xml:space="preserve">note 3, ss 1, 4(1). </w:t>
      </w:r>
    </w:p>
  </w:footnote>
  <w:footnote w:id="78">
    <w:p w14:paraId="173DB159" w14:textId="77777777" w:rsidR="00B67F7A" w:rsidRPr="008D14BD" w:rsidRDefault="00B67F7A" w:rsidP="00F767A1">
      <w:pPr>
        <w:pBdr>
          <w:top w:val="nil"/>
          <w:left w:val="nil"/>
          <w:bottom w:val="nil"/>
          <w:right w:val="nil"/>
          <w:between w:val="nil"/>
        </w:pBdr>
        <w:tabs>
          <w:tab w:val="left" w:pos="346"/>
        </w:tabs>
      </w:pPr>
      <w:r w:rsidRPr="008D14BD">
        <w:rPr>
          <w:vertAlign w:val="superscript"/>
        </w:rPr>
        <w:footnoteRef/>
      </w:r>
      <w:r w:rsidRPr="008D14BD">
        <w:t xml:space="preserve"> </w:t>
      </w:r>
      <w:r w:rsidR="00034FD0">
        <w:tab/>
      </w:r>
      <w:r w:rsidRPr="008D14BD">
        <w:rPr>
          <w:i/>
          <w:iCs/>
        </w:rPr>
        <w:t>Ibid</w:t>
      </w:r>
      <w:r w:rsidRPr="008369AE">
        <w:t>,</w:t>
      </w:r>
      <w:r w:rsidRPr="008D14BD">
        <w:t xml:space="preserve"> s 16(1)(a). </w:t>
      </w:r>
    </w:p>
  </w:footnote>
  <w:footnote w:id="79">
    <w:p w14:paraId="34C95097"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Equality Rights Statute Law Amendment Act</w:t>
      </w:r>
      <w:r w:rsidRPr="008D14BD">
        <w:t xml:space="preserve">, SO 1986, c 64, s 18(9)(1). </w:t>
      </w:r>
    </w:p>
  </w:footnote>
  <w:footnote w:id="80">
    <w:p w14:paraId="2A257F9B" w14:textId="77777777" w:rsidR="00B67F7A" w:rsidRPr="008D14BD" w:rsidRDefault="00B67F7A" w:rsidP="00F767A1">
      <w:pPr>
        <w:pBdr>
          <w:top w:val="nil"/>
          <w:left w:val="nil"/>
          <w:bottom w:val="nil"/>
          <w:right w:val="nil"/>
          <w:between w:val="nil"/>
        </w:pBdr>
        <w:tabs>
          <w:tab w:val="left" w:pos="346"/>
        </w:tabs>
      </w:pPr>
      <w:r w:rsidRPr="008D14BD">
        <w:rPr>
          <w:vertAlign w:val="superscript"/>
        </w:rPr>
        <w:footnoteRef/>
      </w:r>
      <w:r w:rsidRPr="008D14BD">
        <w:t xml:space="preserve"> </w:t>
      </w:r>
      <w:r w:rsidR="00034FD0">
        <w:tab/>
      </w:r>
      <w:r w:rsidRPr="008D14BD">
        <w:rPr>
          <w:i/>
          <w:iCs/>
        </w:rPr>
        <w:t>Vriend v Alberta</w:t>
      </w:r>
      <w:r w:rsidRPr="008D14BD">
        <w:t>, [1998] 1 SCR 493, [1998] SCJ No 29 (QL).</w:t>
      </w:r>
    </w:p>
  </w:footnote>
  <w:footnote w:id="81">
    <w:p w14:paraId="7B9D3379"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rStyle w:val="Emphasis"/>
          <w:shd w:val="clear" w:color="auto" w:fill="FFFFFF"/>
        </w:rPr>
        <w:t>Minutes of Proceedings, 12 December 1980, supra note 2</w:t>
      </w:r>
      <w:r w:rsidRPr="008D14BD">
        <w:rPr>
          <w:i/>
        </w:rPr>
        <w:t xml:space="preserve"> </w:t>
      </w:r>
      <w:r w:rsidRPr="008D14BD">
        <w:rPr>
          <w:iCs/>
        </w:rPr>
        <w:t xml:space="preserve">at </w:t>
      </w:r>
      <w:r w:rsidRPr="008D14BD">
        <w:t xml:space="preserve">18. </w:t>
      </w:r>
    </w:p>
  </w:footnote>
  <w:footnote w:id="82">
    <w:p w14:paraId="58CCA4D0"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rPr>
          <w:iCs/>
        </w:rPr>
        <w:t xml:space="preserve"> at</w:t>
      </w:r>
      <w:r w:rsidRPr="008D14BD">
        <w:t xml:space="preserve"> 18–19.</w:t>
      </w:r>
    </w:p>
  </w:footnote>
  <w:footnote w:id="83">
    <w:p w14:paraId="3DDBA325"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rPr>
          <w:iCs/>
        </w:rPr>
        <w:t xml:space="preserve"> at </w:t>
      </w:r>
      <w:r w:rsidRPr="008D14BD">
        <w:t xml:space="preserve">19. </w:t>
      </w:r>
    </w:p>
  </w:footnote>
  <w:footnote w:id="84">
    <w:p w14:paraId="2E0E8547"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034FD0">
        <w:tab/>
      </w:r>
      <w:r w:rsidRPr="008D14BD">
        <w:rPr>
          <w:i/>
        </w:rPr>
        <w:t>Ibid</w:t>
      </w:r>
      <w:r w:rsidRPr="008D14BD">
        <w:t>.</w:t>
      </w:r>
    </w:p>
  </w:footnote>
  <w:footnote w:id="85">
    <w:p w14:paraId="7E1BCF87"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ED1DD9">
        <w:tab/>
      </w:r>
      <w:r w:rsidRPr="008D14BD">
        <w:t xml:space="preserve">Canadian National Institute for the Blind, </w:t>
      </w:r>
      <w:r w:rsidRPr="008369AE">
        <w:rPr>
          <w:i/>
          <w:iCs/>
        </w:rPr>
        <w:t>CNIB Media Release</w:t>
      </w:r>
      <w:r w:rsidRPr="008D14BD">
        <w:t xml:space="preserve"> (12 December 1980) at 30. </w:t>
      </w:r>
    </w:p>
  </w:footnote>
  <w:footnote w:id="86">
    <w:p w14:paraId="0BF56CFA" w14:textId="77777777" w:rsidR="00B67F7A" w:rsidRPr="008D14BD" w:rsidRDefault="00B67F7A" w:rsidP="00F767A1">
      <w:pPr>
        <w:pStyle w:val="FootnoteText"/>
        <w:tabs>
          <w:tab w:val="left" w:pos="346"/>
        </w:tabs>
      </w:pPr>
      <w:r w:rsidRPr="008D14BD">
        <w:rPr>
          <w:rStyle w:val="FootnoteReference"/>
        </w:rPr>
        <w:footnoteRef/>
      </w:r>
      <w:r w:rsidRPr="008D14BD">
        <w:t xml:space="preserve"> </w:t>
      </w:r>
      <w:r w:rsidR="00ED1DD9">
        <w:tab/>
      </w:r>
      <w:r w:rsidRPr="008D14BD">
        <w:t xml:space="preserve">“Handicapped Require Help, Hearing Told,” </w:t>
      </w:r>
      <w:r w:rsidRPr="008D14BD">
        <w:rPr>
          <w:i/>
        </w:rPr>
        <w:t>Globe and Mail</w:t>
      </w:r>
      <w:r w:rsidRPr="008D14BD">
        <w:t xml:space="preserve"> (13 December 1980) at 12. </w:t>
      </w:r>
    </w:p>
  </w:footnote>
  <w:footnote w:id="87">
    <w:p w14:paraId="61625AE8" w14:textId="77777777" w:rsidR="00B67F7A" w:rsidRPr="00A538D9" w:rsidRDefault="00B67F7A" w:rsidP="00ED1DD9">
      <w:pPr>
        <w:pStyle w:val="FootnoteText"/>
        <w:tabs>
          <w:tab w:val="left" w:pos="346"/>
        </w:tabs>
        <w:ind w:left="360" w:hanging="360"/>
        <w:rPr>
          <w:b/>
        </w:rPr>
      </w:pPr>
      <w:r w:rsidRPr="008D14BD">
        <w:rPr>
          <w:rStyle w:val="FootnoteReference"/>
        </w:rPr>
        <w:footnoteRef/>
      </w:r>
      <w:r w:rsidRPr="008D14BD">
        <w:t xml:space="preserve"> </w:t>
      </w:r>
      <w:r w:rsidR="00ED1DD9">
        <w:tab/>
      </w:r>
      <w:r w:rsidRPr="00D720C7">
        <w:rPr>
          <w:i/>
          <w:iCs/>
        </w:rPr>
        <w:t>Canada Disability Benefit Act</w:t>
      </w:r>
      <w:r>
        <w:t xml:space="preserve">, </w:t>
      </w:r>
      <w:r w:rsidRPr="00D720C7">
        <w:t>SC</w:t>
      </w:r>
      <w:r>
        <w:t xml:space="preserve"> </w:t>
      </w:r>
      <w:r w:rsidRPr="00D720C7">
        <w:t>2023, c 17</w:t>
      </w:r>
      <w:r w:rsidRPr="00892214">
        <w:t>.</w:t>
      </w:r>
      <w:r w:rsidRPr="008D14BD">
        <w:t xml:space="preserve"> See the “Video of David Lepofsky’s Evidence at the House of Commons Standing Committee on Human Resources, Skills and Social Development and the Status of Persons with Disabilities” (14 November 2022), online: </w:t>
      </w:r>
      <w:r w:rsidRPr="008D14BD">
        <w:rPr>
          <w:i/>
          <w:iCs/>
        </w:rPr>
        <w:t>Youtube</w:t>
      </w:r>
      <w:r w:rsidRPr="008D14BD">
        <w:t xml:space="preserve"> &lt;</w:t>
      </w:r>
      <w:r w:rsidRPr="008369AE">
        <w:t>www.youtube.com/watch?v=4Kq-DVtTu1s</w:t>
      </w:r>
      <w:r w:rsidRPr="008D14BD">
        <w:t>&gt;.</w:t>
      </w:r>
    </w:p>
  </w:footnote>
  <w:footnote w:id="88">
    <w:p w14:paraId="154656F1" w14:textId="77777777" w:rsidR="00B67F7A" w:rsidRPr="008D14BD" w:rsidRDefault="00B67F7A" w:rsidP="00ED1DD9">
      <w:pPr>
        <w:pBdr>
          <w:top w:val="nil"/>
          <w:left w:val="nil"/>
          <w:bottom w:val="nil"/>
          <w:right w:val="nil"/>
          <w:between w:val="nil"/>
        </w:pBdr>
        <w:tabs>
          <w:tab w:val="left" w:pos="346"/>
        </w:tabs>
        <w:ind w:left="360" w:hanging="360"/>
      </w:pPr>
      <w:r w:rsidRPr="008D14BD">
        <w:rPr>
          <w:vertAlign w:val="superscript"/>
        </w:rPr>
        <w:footnoteRef/>
      </w:r>
      <w:r w:rsidRPr="008D14BD">
        <w:t xml:space="preserve"> </w:t>
      </w:r>
      <w:r w:rsidR="00ED1DD9">
        <w:tab/>
      </w:r>
      <w:r w:rsidRPr="008369AE">
        <w:t xml:space="preserve">David Lepofsky, “A Professional Comedian’s Fundamental Right to Publicly Bully a Child Because of His Disability? Scrutinizing </w:t>
      </w:r>
      <w:r w:rsidRPr="008369AE">
        <w:rPr>
          <w:i/>
          <w:iCs/>
        </w:rPr>
        <w:t>Ward v. Quebec Human Rights Commission</w:t>
      </w:r>
      <w:r w:rsidRPr="008369AE">
        <w:t xml:space="preserve"> </w:t>
      </w:r>
      <w:r>
        <w:t>t</w:t>
      </w:r>
      <w:r w:rsidRPr="008369AE">
        <w:t xml:space="preserve">hrough a Disability Lens” (2023) 108:2 </w:t>
      </w:r>
      <w:r w:rsidRPr="008369AE">
        <w:rPr>
          <w:iCs/>
        </w:rPr>
        <w:t>SCLR</w:t>
      </w:r>
      <w:r w:rsidRPr="008369AE">
        <w:rPr>
          <w:i/>
        </w:rPr>
        <w:t xml:space="preserve"> </w:t>
      </w:r>
      <w:r w:rsidRPr="008369AE">
        <w:t>169</w:t>
      </w:r>
      <w:r w:rsidRPr="008D14BD">
        <w:rPr>
          <w:i/>
          <w:iCs/>
        </w:rPr>
        <w:t xml:space="preserve"> </w:t>
      </w:r>
      <w:r w:rsidRPr="008D14BD">
        <w:t>at 178</w:t>
      </w:r>
      <w:r>
        <w:t>–1</w:t>
      </w:r>
      <w:r w:rsidRPr="008D14BD">
        <w:t>79.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3FA3" w14:textId="77777777" w:rsidR="00D3504F" w:rsidRPr="009F4ED2" w:rsidRDefault="008463C4" w:rsidP="009F4ED2">
    <w:pPr>
      <w:pBdr>
        <w:top w:val="nil"/>
        <w:left w:val="nil"/>
        <w:bottom w:val="nil"/>
        <w:right w:val="nil"/>
        <w:between w:val="nil"/>
      </w:pBdr>
      <w:tabs>
        <w:tab w:val="center" w:pos="4680"/>
        <w:tab w:val="center" w:pos="3326"/>
        <w:tab w:val="right" w:pos="6653"/>
      </w:tabs>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FD65B9">
      <w:rPr>
        <w:noProof/>
        <w:color w:val="000000"/>
        <w:sz w:val="24"/>
        <w:szCs w:val="24"/>
      </w:rPr>
      <w:t>2</w:t>
    </w:r>
    <w:r>
      <w:rPr>
        <w:color w:val="000000"/>
        <w:sz w:val="24"/>
        <w:szCs w:val="24"/>
      </w:rPr>
      <w:fldChar w:fldCharType="end"/>
    </w:r>
    <w:r w:rsidR="00F136D4">
      <w:rPr>
        <w:i/>
        <w:color w:val="000000"/>
        <w:sz w:val="24"/>
        <w:szCs w:val="24"/>
      </w:rPr>
      <w:tab/>
    </w:r>
    <w:r>
      <w:rPr>
        <w:i/>
        <w:color w:val="000000"/>
        <w:sz w:val="24"/>
        <w:szCs w:val="24"/>
      </w:rPr>
      <w:t>Windsor Yearbook of Access to Justice</w:t>
    </w:r>
    <w:r>
      <w:rPr>
        <w:i/>
        <w:color w:val="000000"/>
        <w:sz w:val="24"/>
        <w:szCs w:val="24"/>
      </w:rPr>
      <w:tab/>
    </w:r>
    <w:r w:rsidR="00F136D4">
      <w:rPr>
        <w:i/>
        <w:color w:val="000000"/>
        <w:sz w:val="24"/>
        <w:szCs w:val="24"/>
      </w:rPr>
      <w:t xml:space="preserve">    </w:t>
    </w:r>
    <w:r w:rsidR="00F136D4">
      <w:rPr>
        <w:i/>
        <w:color w:val="000000"/>
        <w:sz w:val="24"/>
        <w:szCs w:val="24"/>
      </w:rPr>
      <w:tab/>
    </w:r>
    <w:r w:rsidR="00F136D4">
      <w:rPr>
        <w:i/>
        <w:color w:val="000000"/>
        <w:sz w:val="24"/>
        <w:szCs w:val="24"/>
      </w:rPr>
      <w:tab/>
    </w:r>
    <w:r w:rsidR="00F136D4">
      <w:rPr>
        <w:i/>
        <w:color w:val="000000"/>
        <w:sz w:val="24"/>
        <w:szCs w:val="24"/>
      </w:rPr>
      <w:tab/>
    </w:r>
    <w:r w:rsidR="00F136D4">
      <w:rPr>
        <w:i/>
        <w:color w:val="000000"/>
        <w:sz w:val="24"/>
        <w:szCs w:val="24"/>
      </w:rPr>
      <w:tab/>
    </w:r>
    <w:r w:rsidR="00157254">
      <w:rPr>
        <w:i/>
        <w:color w:val="000000"/>
        <w:sz w:val="24"/>
        <w:szCs w:val="24"/>
      </w:rPr>
      <w:t xml:space="preserve">    </w:t>
    </w:r>
    <w:r>
      <w:rPr>
        <w:color w:val="000000"/>
        <w:sz w:val="24"/>
        <w:szCs w:val="24"/>
      </w:rPr>
      <w:t>202</w:t>
    </w:r>
    <w:r w:rsidR="00BD2628">
      <w:rPr>
        <w:color w:val="000000"/>
        <w:sz w:val="24"/>
        <w:szCs w:val="24"/>
      </w:rPr>
      <w:t>3</w:t>
    </w:r>
  </w:p>
  <w:p w14:paraId="017A2842" w14:textId="77777777" w:rsidR="004730C7" w:rsidRDefault="00473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3FA7D" w14:textId="77777777" w:rsidR="002D1028" w:rsidRDefault="008463C4" w:rsidP="00225EBD">
    <w:pPr>
      <w:tabs>
        <w:tab w:val="left" w:pos="288"/>
      </w:tabs>
      <w:rPr>
        <w:sz w:val="24"/>
        <w:szCs w:val="24"/>
      </w:rPr>
    </w:pPr>
    <w:r>
      <w:rPr>
        <w:i/>
        <w:sz w:val="24"/>
        <w:szCs w:val="24"/>
      </w:rPr>
      <w:t>Vol. 3</w:t>
    </w:r>
    <w:r w:rsidR="007B6349">
      <w:rPr>
        <w:i/>
        <w:sz w:val="24"/>
        <w:szCs w:val="24"/>
      </w:rPr>
      <w:t>9</w:t>
    </w:r>
    <w:r>
      <w:rPr>
        <w:i/>
        <w:sz w:val="24"/>
        <w:szCs w:val="24"/>
      </w:rPr>
      <w:t xml:space="preserve">   </w:t>
    </w:r>
    <w:r w:rsidR="004B5CE3">
      <w:rPr>
        <w:i/>
        <w:sz w:val="24"/>
        <w:szCs w:val="24"/>
      </w:rPr>
      <w:t xml:space="preserve">         </w:t>
    </w:r>
    <w:r w:rsidR="00BD2628">
      <w:rPr>
        <w:i/>
        <w:sz w:val="24"/>
        <w:szCs w:val="24"/>
      </w:rPr>
      <w:t xml:space="preserve">   </w:t>
    </w:r>
    <w:r w:rsidR="00127A2B">
      <w:rPr>
        <w:i/>
        <w:sz w:val="24"/>
        <w:szCs w:val="24"/>
      </w:rPr>
      <w:t xml:space="preserve"> </w:t>
    </w:r>
    <w:r w:rsidR="00020F5B">
      <w:rPr>
        <w:i/>
        <w:sz w:val="24"/>
        <w:szCs w:val="24"/>
      </w:rPr>
      <w:t xml:space="preserve">  </w:t>
    </w:r>
    <w:r w:rsidR="007B6349" w:rsidRPr="007B6349">
      <w:rPr>
        <w:i/>
        <w:sz w:val="24"/>
        <w:szCs w:val="24"/>
        <w:lang w:val="en-CA"/>
      </w:rPr>
      <w:t xml:space="preserve">Battle to get Disability Equality Added to the </w:t>
    </w:r>
    <w:r w:rsidR="007B6349" w:rsidRPr="007B6349">
      <w:rPr>
        <w:i/>
        <w:iCs/>
        <w:sz w:val="24"/>
        <w:szCs w:val="24"/>
        <w:lang w:val="en-CA"/>
      </w:rPr>
      <w:t xml:space="preserve">Canadian </w:t>
    </w:r>
    <w:r w:rsidR="007B6349" w:rsidRPr="007B6349">
      <w:rPr>
        <w:sz w:val="24"/>
        <w:szCs w:val="24"/>
        <w:lang w:val="en-CA"/>
      </w:rPr>
      <w:t>Charter</w:t>
    </w:r>
    <w:r w:rsidR="00157254">
      <w:rPr>
        <w:b/>
        <w:bCs/>
        <w:i/>
        <w:sz w:val="24"/>
        <w:szCs w:val="24"/>
      </w:rPr>
      <w:tab/>
    </w:r>
    <w:r w:rsidR="00157254">
      <w:rPr>
        <w:b/>
        <w:bCs/>
        <w:i/>
        <w:sz w:val="24"/>
        <w:szCs w:val="24"/>
      </w:rPr>
      <w:tab/>
      <w:t xml:space="preserve">      </w:t>
    </w:r>
    <w:r w:rsidR="00BD2628">
      <w:rPr>
        <w:b/>
        <w:bCs/>
        <w:i/>
        <w:sz w:val="24"/>
        <w:szCs w:val="24"/>
      </w:rPr>
      <w:t xml:space="preserve">           </w:t>
    </w:r>
    <w:r w:rsidR="00F14A6F">
      <w:rPr>
        <w:b/>
        <w:bCs/>
        <w:i/>
        <w:sz w:val="24"/>
        <w:szCs w:val="24"/>
      </w:rPr>
      <w:t xml:space="preserve"> </w:t>
    </w:r>
    <w:r>
      <w:rPr>
        <w:sz w:val="24"/>
        <w:szCs w:val="24"/>
      </w:rPr>
      <w:fldChar w:fldCharType="begin"/>
    </w:r>
    <w:r>
      <w:rPr>
        <w:sz w:val="24"/>
        <w:szCs w:val="24"/>
      </w:rPr>
      <w:instrText>PAGE</w:instrText>
    </w:r>
    <w:r>
      <w:rPr>
        <w:sz w:val="24"/>
        <w:szCs w:val="24"/>
      </w:rPr>
      <w:fldChar w:fldCharType="separate"/>
    </w:r>
    <w:r w:rsidR="00FD65B9">
      <w:rPr>
        <w:noProof/>
        <w:sz w:val="24"/>
        <w:szCs w:val="24"/>
      </w:rPr>
      <w:t>3</w:t>
    </w:r>
    <w:r>
      <w:rPr>
        <w:sz w:val="24"/>
        <w:szCs w:val="24"/>
      </w:rPr>
      <w:fldChar w:fldCharType="end"/>
    </w:r>
  </w:p>
  <w:p w14:paraId="50CD8478" w14:textId="77777777" w:rsidR="009D2325" w:rsidRPr="00225EBD" w:rsidRDefault="009D2325" w:rsidP="00225EBD">
    <w:pPr>
      <w:tabs>
        <w:tab w:val="left" w:pos="288"/>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DE7D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DD93300"/>
    <w:multiLevelType w:val="hybridMultilevel"/>
    <w:tmpl w:val="4B989AB2"/>
    <w:lvl w:ilvl="0" w:tplc="82F473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32764C"/>
    <w:multiLevelType w:val="hybridMultilevel"/>
    <w:tmpl w:val="773A6F5E"/>
    <w:lvl w:ilvl="0" w:tplc="10090017">
      <w:start w:val="4"/>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15:restartNumberingAfterBreak="0">
    <w:nsid w:val="2359568A"/>
    <w:multiLevelType w:val="hybridMultilevel"/>
    <w:tmpl w:val="AFB0865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B4F3880"/>
    <w:multiLevelType w:val="hybridMultilevel"/>
    <w:tmpl w:val="ACA60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B09"/>
    <w:multiLevelType w:val="hybridMultilevel"/>
    <w:tmpl w:val="71AC3B42"/>
    <w:lvl w:ilvl="0" w:tplc="183296EC">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BED3AE8"/>
    <w:multiLevelType w:val="multilevel"/>
    <w:tmpl w:val="11B49422"/>
    <w:lvl w:ilvl="0">
      <w:start w:val="1"/>
      <w:numFmt w:val="bullet"/>
      <w:pStyle w:val="List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E950E94"/>
    <w:multiLevelType w:val="hybridMultilevel"/>
    <w:tmpl w:val="FDD683FE"/>
    <w:lvl w:ilvl="0" w:tplc="FF088440">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1244F49"/>
    <w:multiLevelType w:val="hybridMultilevel"/>
    <w:tmpl w:val="C7848EDA"/>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9" w15:restartNumberingAfterBreak="0">
    <w:nsid w:val="4E9C096E"/>
    <w:multiLevelType w:val="multilevel"/>
    <w:tmpl w:val="F38CF3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2272A3"/>
    <w:multiLevelType w:val="hybridMultilevel"/>
    <w:tmpl w:val="187CD2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E2CAA"/>
    <w:multiLevelType w:val="hybridMultilevel"/>
    <w:tmpl w:val="EA789A04"/>
    <w:lvl w:ilvl="0" w:tplc="2DB038C2">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2B21ADB"/>
    <w:multiLevelType w:val="hybridMultilevel"/>
    <w:tmpl w:val="CC0A3AE6"/>
    <w:lvl w:ilvl="0" w:tplc="A3FA410C">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313798755">
    <w:abstractNumId w:val="9"/>
  </w:num>
  <w:num w:numId="2" w16cid:durableId="2118600830">
    <w:abstractNumId w:val="6"/>
  </w:num>
  <w:num w:numId="3" w16cid:durableId="422454969">
    <w:abstractNumId w:val="12"/>
  </w:num>
  <w:num w:numId="4" w16cid:durableId="1607083221">
    <w:abstractNumId w:val="2"/>
  </w:num>
  <w:num w:numId="5" w16cid:durableId="1038508130">
    <w:abstractNumId w:val="0"/>
  </w:num>
  <w:num w:numId="6" w16cid:durableId="1554996480">
    <w:abstractNumId w:val="5"/>
  </w:num>
  <w:num w:numId="7" w16cid:durableId="483743242">
    <w:abstractNumId w:val="7"/>
  </w:num>
  <w:num w:numId="8" w16cid:durableId="583995096">
    <w:abstractNumId w:val="11"/>
  </w:num>
  <w:num w:numId="9" w16cid:durableId="230509284">
    <w:abstractNumId w:val="8"/>
  </w:num>
  <w:num w:numId="10" w16cid:durableId="1819109397">
    <w:abstractNumId w:val="4"/>
  </w:num>
  <w:num w:numId="11" w16cid:durableId="621768276">
    <w:abstractNumId w:val="3"/>
  </w:num>
  <w:num w:numId="12" w16cid:durableId="1537430486">
    <w:abstractNumId w:val="10"/>
  </w:num>
  <w:num w:numId="13" w16cid:durableId="771126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attachedTemplate r:id="rId1"/>
  <w:stylePaneSortMethod w:val="0000"/>
  <w:defaultTabStop w:val="720"/>
  <w:evenAndOddHeader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426"/>
    <w:rsid w:val="000109B7"/>
    <w:rsid w:val="000143DB"/>
    <w:rsid w:val="00015F3F"/>
    <w:rsid w:val="00020F5B"/>
    <w:rsid w:val="0002362B"/>
    <w:rsid w:val="000247A3"/>
    <w:rsid w:val="00025D42"/>
    <w:rsid w:val="0003450A"/>
    <w:rsid w:val="00034FD0"/>
    <w:rsid w:val="00036705"/>
    <w:rsid w:val="00041804"/>
    <w:rsid w:val="00050FF4"/>
    <w:rsid w:val="00054DC0"/>
    <w:rsid w:val="000667D4"/>
    <w:rsid w:val="00073C2D"/>
    <w:rsid w:val="00077240"/>
    <w:rsid w:val="000830FA"/>
    <w:rsid w:val="00087D60"/>
    <w:rsid w:val="000973F7"/>
    <w:rsid w:val="000A07E7"/>
    <w:rsid w:val="000A183B"/>
    <w:rsid w:val="000C1961"/>
    <w:rsid w:val="000D5F71"/>
    <w:rsid w:val="000D634B"/>
    <w:rsid w:val="000D6B9A"/>
    <w:rsid w:val="000D7635"/>
    <w:rsid w:val="000E0977"/>
    <w:rsid w:val="000F0763"/>
    <w:rsid w:val="000F1D27"/>
    <w:rsid w:val="000F6767"/>
    <w:rsid w:val="000F7499"/>
    <w:rsid w:val="001042BC"/>
    <w:rsid w:val="00104967"/>
    <w:rsid w:val="00106A15"/>
    <w:rsid w:val="00110956"/>
    <w:rsid w:val="00112CE8"/>
    <w:rsid w:val="001165FC"/>
    <w:rsid w:val="00121B2F"/>
    <w:rsid w:val="00127A2B"/>
    <w:rsid w:val="001303F3"/>
    <w:rsid w:val="001338C2"/>
    <w:rsid w:val="00134219"/>
    <w:rsid w:val="0014413C"/>
    <w:rsid w:val="00155013"/>
    <w:rsid w:val="00157254"/>
    <w:rsid w:val="00160736"/>
    <w:rsid w:val="00161470"/>
    <w:rsid w:val="001630DB"/>
    <w:rsid w:val="00163325"/>
    <w:rsid w:val="00167A46"/>
    <w:rsid w:val="00167D3A"/>
    <w:rsid w:val="00177613"/>
    <w:rsid w:val="00193CED"/>
    <w:rsid w:val="001A4E31"/>
    <w:rsid w:val="001A7A19"/>
    <w:rsid w:val="001B03D8"/>
    <w:rsid w:val="001B5070"/>
    <w:rsid w:val="001C1502"/>
    <w:rsid w:val="001C396F"/>
    <w:rsid w:val="001C509B"/>
    <w:rsid w:val="001C7D13"/>
    <w:rsid w:val="001D0708"/>
    <w:rsid w:val="001D7525"/>
    <w:rsid w:val="001E2824"/>
    <w:rsid w:val="001E4269"/>
    <w:rsid w:val="001F11A1"/>
    <w:rsid w:val="001F7D48"/>
    <w:rsid w:val="00211DD5"/>
    <w:rsid w:val="00214EE3"/>
    <w:rsid w:val="0022263A"/>
    <w:rsid w:val="00222C94"/>
    <w:rsid w:val="00225EBD"/>
    <w:rsid w:val="0023137C"/>
    <w:rsid w:val="00237701"/>
    <w:rsid w:val="00237F3C"/>
    <w:rsid w:val="00246C6D"/>
    <w:rsid w:val="00246D86"/>
    <w:rsid w:val="00247814"/>
    <w:rsid w:val="002518D0"/>
    <w:rsid w:val="0025493B"/>
    <w:rsid w:val="00255447"/>
    <w:rsid w:val="00256D90"/>
    <w:rsid w:val="00263050"/>
    <w:rsid w:val="00267337"/>
    <w:rsid w:val="00273A02"/>
    <w:rsid w:val="0028443D"/>
    <w:rsid w:val="00284FB9"/>
    <w:rsid w:val="00291786"/>
    <w:rsid w:val="00293426"/>
    <w:rsid w:val="00295AB5"/>
    <w:rsid w:val="00296F41"/>
    <w:rsid w:val="00297019"/>
    <w:rsid w:val="002A23B0"/>
    <w:rsid w:val="002B14CF"/>
    <w:rsid w:val="002B1512"/>
    <w:rsid w:val="002B69D9"/>
    <w:rsid w:val="002C3D13"/>
    <w:rsid w:val="002C4463"/>
    <w:rsid w:val="002D1028"/>
    <w:rsid w:val="002D10A8"/>
    <w:rsid w:val="002D3D18"/>
    <w:rsid w:val="002E7ECF"/>
    <w:rsid w:val="002F7E41"/>
    <w:rsid w:val="00301658"/>
    <w:rsid w:val="0030248A"/>
    <w:rsid w:val="00316993"/>
    <w:rsid w:val="00321C09"/>
    <w:rsid w:val="0032286F"/>
    <w:rsid w:val="00334CA6"/>
    <w:rsid w:val="00341E76"/>
    <w:rsid w:val="003423AB"/>
    <w:rsid w:val="003437BF"/>
    <w:rsid w:val="00355DA0"/>
    <w:rsid w:val="00362217"/>
    <w:rsid w:val="00363DFE"/>
    <w:rsid w:val="00367884"/>
    <w:rsid w:val="00371671"/>
    <w:rsid w:val="00383F6C"/>
    <w:rsid w:val="00385FAE"/>
    <w:rsid w:val="00393ED6"/>
    <w:rsid w:val="00395C77"/>
    <w:rsid w:val="003A1316"/>
    <w:rsid w:val="003A1F82"/>
    <w:rsid w:val="003B041D"/>
    <w:rsid w:val="003B4A9F"/>
    <w:rsid w:val="003C5781"/>
    <w:rsid w:val="003D66D6"/>
    <w:rsid w:val="003E1ADA"/>
    <w:rsid w:val="003E2ED6"/>
    <w:rsid w:val="003E4D75"/>
    <w:rsid w:val="003E620B"/>
    <w:rsid w:val="003F5E3E"/>
    <w:rsid w:val="003F622F"/>
    <w:rsid w:val="003F6473"/>
    <w:rsid w:val="00411D82"/>
    <w:rsid w:val="004142D6"/>
    <w:rsid w:val="00450BE1"/>
    <w:rsid w:val="00455295"/>
    <w:rsid w:val="00455510"/>
    <w:rsid w:val="0046201E"/>
    <w:rsid w:val="004730C7"/>
    <w:rsid w:val="00483FE8"/>
    <w:rsid w:val="004877C1"/>
    <w:rsid w:val="00495B8E"/>
    <w:rsid w:val="004A2E54"/>
    <w:rsid w:val="004B051E"/>
    <w:rsid w:val="004B4A15"/>
    <w:rsid w:val="004B5CE3"/>
    <w:rsid w:val="004C54BF"/>
    <w:rsid w:val="004D1991"/>
    <w:rsid w:val="004D7D9A"/>
    <w:rsid w:val="004F2622"/>
    <w:rsid w:val="004F28D3"/>
    <w:rsid w:val="004F67A1"/>
    <w:rsid w:val="004F783B"/>
    <w:rsid w:val="00505C2D"/>
    <w:rsid w:val="00506FD5"/>
    <w:rsid w:val="00507322"/>
    <w:rsid w:val="00507B70"/>
    <w:rsid w:val="00514125"/>
    <w:rsid w:val="005155E4"/>
    <w:rsid w:val="00520FC7"/>
    <w:rsid w:val="005340F2"/>
    <w:rsid w:val="0053755F"/>
    <w:rsid w:val="005425BE"/>
    <w:rsid w:val="00544C68"/>
    <w:rsid w:val="005521C6"/>
    <w:rsid w:val="00553FB1"/>
    <w:rsid w:val="005632DB"/>
    <w:rsid w:val="005727DE"/>
    <w:rsid w:val="00572A5B"/>
    <w:rsid w:val="00573EC0"/>
    <w:rsid w:val="00582201"/>
    <w:rsid w:val="00587EFD"/>
    <w:rsid w:val="00595E18"/>
    <w:rsid w:val="005A2DB6"/>
    <w:rsid w:val="005A4F0B"/>
    <w:rsid w:val="005B0043"/>
    <w:rsid w:val="005B57F0"/>
    <w:rsid w:val="005B68A9"/>
    <w:rsid w:val="005B79E1"/>
    <w:rsid w:val="005C2C10"/>
    <w:rsid w:val="005C2E42"/>
    <w:rsid w:val="005C6025"/>
    <w:rsid w:val="005C665B"/>
    <w:rsid w:val="005D5425"/>
    <w:rsid w:val="005E0075"/>
    <w:rsid w:val="005E56C2"/>
    <w:rsid w:val="005F45ED"/>
    <w:rsid w:val="005F6FDA"/>
    <w:rsid w:val="005F79D6"/>
    <w:rsid w:val="006018CC"/>
    <w:rsid w:val="00602EAE"/>
    <w:rsid w:val="006148D9"/>
    <w:rsid w:val="00615692"/>
    <w:rsid w:val="00617B81"/>
    <w:rsid w:val="0062350E"/>
    <w:rsid w:val="00633977"/>
    <w:rsid w:val="00633D5E"/>
    <w:rsid w:val="006503FC"/>
    <w:rsid w:val="00657896"/>
    <w:rsid w:val="00657ED0"/>
    <w:rsid w:val="006607FB"/>
    <w:rsid w:val="00665F06"/>
    <w:rsid w:val="00673133"/>
    <w:rsid w:val="006757F9"/>
    <w:rsid w:val="00691B5E"/>
    <w:rsid w:val="00697D81"/>
    <w:rsid w:val="006A0BB7"/>
    <w:rsid w:val="006A21F0"/>
    <w:rsid w:val="006A384A"/>
    <w:rsid w:val="006A66DF"/>
    <w:rsid w:val="006B27BA"/>
    <w:rsid w:val="006B3482"/>
    <w:rsid w:val="006B7318"/>
    <w:rsid w:val="006C1402"/>
    <w:rsid w:val="006C140D"/>
    <w:rsid w:val="006C3464"/>
    <w:rsid w:val="006C3E28"/>
    <w:rsid w:val="006C47B0"/>
    <w:rsid w:val="006C5ACB"/>
    <w:rsid w:val="006C787A"/>
    <w:rsid w:val="006D69AC"/>
    <w:rsid w:val="006D7712"/>
    <w:rsid w:val="006E5557"/>
    <w:rsid w:val="006F09FC"/>
    <w:rsid w:val="006F21D1"/>
    <w:rsid w:val="006F63B4"/>
    <w:rsid w:val="007020AE"/>
    <w:rsid w:val="007038F2"/>
    <w:rsid w:val="00710B82"/>
    <w:rsid w:val="007338B7"/>
    <w:rsid w:val="00740BF9"/>
    <w:rsid w:val="007459F7"/>
    <w:rsid w:val="007515CF"/>
    <w:rsid w:val="0075219C"/>
    <w:rsid w:val="007535AC"/>
    <w:rsid w:val="007636A8"/>
    <w:rsid w:val="00766689"/>
    <w:rsid w:val="007704CE"/>
    <w:rsid w:val="007734DE"/>
    <w:rsid w:val="00775E1E"/>
    <w:rsid w:val="00777E18"/>
    <w:rsid w:val="00781FAF"/>
    <w:rsid w:val="007870C2"/>
    <w:rsid w:val="00792ACA"/>
    <w:rsid w:val="00795F83"/>
    <w:rsid w:val="00796576"/>
    <w:rsid w:val="007A03D7"/>
    <w:rsid w:val="007A6A79"/>
    <w:rsid w:val="007B0D4F"/>
    <w:rsid w:val="007B148F"/>
    <w:rsid w:val="007B4AC3"/>
    <w:rsid w:val="007B6349"/>
    <w:rsid w:val="007C334B"/>
    <w:rsid w:val="007C3CF8"/>
    <w:rsid w:val="007C7EF5"/>
    <w:rsid w:val="007D00C5"/>
    <w:rsid w:val="007D7B64"/>
    <w:rsid w:val="007E22D5"/>
    <w:rsid w:val="0080488D"/>
    <w:rsid w:val="00807FAE"/>
    <w:rsid w:val="00813303"/>
    <w:rsid w:val="00814C60"/>
    <w:rsid w:val="008203E3"/>
    <w:rsid w:val="00822FD8"/>
    <w:rsid w:val="00831073"/>
    <w:rsid w:val="008316CC"/>
    <w:rsid w:val="00832394"/>
    <w:rsid w:val="00832C24"/>
    <w:rsid w:val="00833690"/>
    <w:rsid w:val="00834DFF"/>
    <w:rsid w:val="00842FF7"/>
    <w:rsid w:val="00844A15"/>
    <w:rsid w:val="008463C4"/>
    <w:rsid w:val="00846890"/>
    <w:rsid w:val="00850DF3"/>
    <w:rsid w:val="008554A9"/>
    <w:rsid w:val="00855748"/>
    <w:rsid w:val="00871588"/>
    <w:rsid w:val="008A21EB"/>
    <w:rsid w:val="008A4C2B"/>
    <w:rsid w:val="008B39DA"/>
    <w:rsid w:val="008D0B6B"/>
    <w:rsid w:val="008D6E0B"/>
    <w:rsid w:val="008E669E"/>
    <w:rsid w:val="008E7230"/>
    <w:rsid w:val="00910657"/>
    <w:rsid w:val="00910A18"/>
    <w:rsid w:val="00913018"/>
    <w:rsid w:val="00914B10"/>
    <w:rsid w:val="00921C97"/>
    <w:rsid w:val="00922F29"/>
    <w:rsid w:val="009318F6"/>
    <w:rsid w:val="00932BE0"/>
    <w:rsid w:val="0093541C"/>
    <w:rsid w:val="00937AAD"/>
    <w:rsid w:val="009417F8"/>
    <w:rsid w:val="0094209B"/>
    <w:rsid w:val="00942EAF"/>
    <w:rsid w:val="00950D43"/>
    <w:rsid w:val="00953522"/>
    <w:rsid w:val="00956DC4"/>
    <w:rsid w:val="00957AFD"/>
    <w:rsid w:val="009700D2"/>
    <w:rsid w:val="00972ABD"/>
    <w:rsid w:val="00983493"/>
    <w:rsid w:val="009B12D6"/>
    <w:rsid w:val="009B15AB"/>
    <w:rsid w:val="009B7F7E"/>
    <w:rsid w:val="009C296D"/>
    <w:rsid w:val="009C3C9C"/>
    <w:rsid w:val="009D01E5"/>
    <w:rsid w:val="009D13D9"/>
    <w:rsid w:val="009D2325"/>
    <w:rsid w:val="009D2F5C"/>
    <w:rsid w:val="009D5231"/>
    <w:rsid w:val="009D5F43"/>
    <w:rsid w:val="009E3451"/>
    <w:rsid w:val="009E420A"/>
    <w:rsid w:val="009E5EBC"/>
    <w:rsid w:val="009E6AD4"/>
    <w:rsid w:val="009E7024"/>
    <w:rsid w:val="009F4ED2"/>
    <w:rsid w:val="00A01208"/>
    <w:rsid w:val="00A0445E"/>
    <w:rsid w:val="00A10B30"/>
    <w:rsid w:val="00A245AA"/>
    <w:rsid w:val="00A24AA0"/>
    <w:rsid w:val="00A41063"/>
    <w:rsid w:val="00A42A83"/>
    <w:rsid w:val="00A43840"/>
    <w:rsid w:val="00A55CD8"/>
    <w:rsid w:val="00A57A57"/>
    <w:rsid w:val="00A62553"/>
    <w:rsid w:val="00A62F7E"/>
    <w:rsid w:val="00A66406"/>
    <w:rsid w:val="00A673C0"/>
    <w:rsid w:val="00A73369"/>
    <w:rsid w:val="00A7602B"/>
    <w:rsid w:val="00A7700E"/>
    <w:rsid w:val="00A83C0B"/>
    <w:rsid w:val="00A85A10"/>
    <w:rsid w:val="00A878A6"/>
    <w:rsid w:val="00A87A25"/>
    <w:rsid w:val="00A93B87"/>
    <w:rsid w:val="00A96063"/>
    <w:rsid w:val="00AA13F5"/>
    <w:rsid w:val="00AA1C0A"/>
    <w:rsid w:val="00AA3C88"/>
    <w:rsid w:val="00AA6032"/>
    <w:rsid w:val="00AA7BC7"/>
    <w:rsid w:val="00AB0EEB"/>
    <w:rsid w:val="00AB3C8E"/>
    <w:rsid w:val="00AB539E"/>
    <w:rsid w:val="00AC302E"/>
    <w:rsid w:val="00AC4C97"/>
    <w:rsid w:val="00AC6982"/>
    <w:rsid w:val="00AD45E7"/>
    <w:rsid w:val="00AD5DD0"/>
    <w:rsid w:val="00AE3AE1"/>
    <w:rsid w:val="00AE3B5C"/>
    <w:rsid w:val="00AE5457"/>
    <w:rsid w:val="00AE5472"/>
    <w:rsid w:val="00AE7495"/>
    <w:rsid w:val="00AF10C0"/>
    <w:rsid w:val="00AF5CC7"/>
    <w:rsid w:val="00B03944"/>
    <w:rsid w:val="00B17FCB"/>
    <w:rsid w:val="00B21823"/>
    <w:rsid w:val="00B31AB4"/>
    <w:rsid w:val="00B416CE"/>
    <w:rsid w:val="00B4692A"/>
    <w:rsid w:val="00B61C2F"/>
    <w:rsid w:val="00B67F7A"/>
    <w:rsid w:val="00B754F0"/>
    <w:rsid w:val="00B75E22"/>
    <w:rsid w:val="00B77A7E"/>
    <w:rsid w:val="00B77A8B"/>
    <w:rsid w:val="00B81B97"/>
    <w:rsid w:val="00B82235"/>
    <w:rsid w:val="00B83C66"/>
    <w:rsid w:val="00B94C1F"/>
    <w:rsid w:val="00BA310F"/>
    <w:rsid w:val="00BA3220"/>
    <w:rsid w:val="00BA5DB7"/>
    <w:rsid w:val="00BB5A99"/>
    <w:rsid w:val="00BB7C18"/>
    <w:rsid w:val="00BC6C2D"/>
    <w:rsid w:val="00BD2628"/>
    <w:rsid w:val="00BD29A1"/>
    <w:rsid w:val="00BE50E1"/>
    <w:rsid w:val="00BF04BD"/>
    <w:rsid w:val="00BF3246"/>
    <w:rsid w:val="00BF76AC"/>
    <w:rsid w:val="00C012CC"/>
    <w:rsid w:val="00C02022"/>
    <w:rsid w:val="00C069C9"/>
    <w:rsid w:val="00C137BD"/>
    <w:rsid w:val="00C2110D"/>
    <w:rsid w:val="00C3407D"/>
    <w:rsid w:val="00C4620E"/>
    <w:rsid w:val="00C536DE"/>
    <w:rsid w:val="00C54E8A"/>
    <w:rsid w:val="00C57563"/>
    <w:rsid w:val="00C64784"/>
    <w:rsid w:val="00C759B7"/>
    <w:rsid w:val="00C8274A"/>
    <w:rsid w:val="00C83D54"/>
    <w:rsid w:val="00C85F83"/>
    <w:rsid w:val="00C93A39"/>
    <w:rsid w:val="00CD0596"/>
    <w:rsid w:val="00CD1E66"/>
    <w:rsid w:val="00CD2DD6"/>
    <w:rsid w:val="00CE0532"/>
    <w:rsid w:val="00CE2219"/>
    <w:rsid w:val="00CE27DE"/>
    <w:rsid w:val="00CE45AC"/>
    <w:rsid w:val="00D01938"/>
    <w:rsid w:val="00D038FD"/>
    <w:rsid w:val="00D1726C"/>
    <w:rsid w:val="00D2214D"/>
    <w:rsid w:val="00D34239"/>
    <w:rsid w:val="00D3504F"/>
    <w:rsid w:val="00D35D66"/>
    <w:rsid w:val="00D37426"/>
    <w:rsid w:val="00D44FF2"/>
    <w:rsid w:val="00D572B5"/>
    <w:rsid w:val="00D606EE"/>
    <w:rsid w:val="00D655C9"/>
    <w:rsid w:val="00D77FDB"/>
    <w:rsid w:val="00DB0C45"/>
    <w:rsid w:val="00DB3512"/>
    <w:rsid w:val="00DB4D14"/>
    <w:rsid w:val="00DC1CD9"/>
    <w:rsid w:val="00DC461B"/>
    <w:rsid w:val="00DC60E3"/>
    <w:rsid w:val="00DC7B9D"/>
    <w:rsid w:val="00DF009B"/>
    <w:rsid w:val="00DF5D24"/>
    <w:rsid w:val="00E10AE1"/>
    <w:rsid w:val="00E112CD"/>
    <w:rsid w:val="00E1216C"/>
    <w:rsid w:val="00E148A0"/>
    <w:rsid w:val="00E17093"/>
    <w:rsid w:val="00E2256F"/>
    <w:rsid w:val="00E24E53"/>
    <w:rsid w:val="00E33B6E"/>
    <w:rsid w:val="00E3538B"/>
    <w:rsid w:val="00E46957"/>
    <w:rsid w:val="00E4703F"/>
    <w:rsid w:val="00E47611"/>
    <w:rsid w:val="00E47B16"/>
    <w:rsid w:val="00E86EB1"/>
    <w:rsid w:val="00E976F9"/>
    <w:rsid w:val="00EA0676"/>
    <w:rsid w:val="00EA70A9"/>
    <w:rsid w:val="00EB4C07"/>
    <w:rsid w:val="00EB4EDD"/>
    <w:rsid w:val="00EC0C08"/>
    <w:rsid w:val="00EC252E"/>
    <w:rsid w:val="00EC267C"/>
    <w:rsid w:val="00EC36A8"/>
    <w:rsid w:val="00EC45F9"/>
    <w:rsid w:val="00ED1DD9"/>
    <w:rsid w:val="00ED6BBE"/>
    <w:rsid w:val="00EE3D3A"/>
    <w:rsid w:val="00EE4E87"/>
    <w:rsid w:val="00F136D4"/>
    <w:rsid w:val="00F14A6F"/>
    <w:rsid w:val="00F31614"/>
    <w:rsid w:val="00F317F0"/>
    <w:rsid w:val="00F34050"/>
    <w:rsid w:val="00F34C69"/>
    <w:rsid w:val="00F417CB"/>
    <w:rsid w:val="00F438D5"/>
    <w:rsid w:val="00F51622"/>
    <w:rsid w:val="00F61755"/>
    <w:rsid w:val="00F657D1"/>
    <w:rsid w:val="00F70D36"/>
    <w:rsid w:val="00F767A1"/>
    <w:rsid w:val="00F8131D"/>
    <w:rsid w:val="00F824DD"/>
    <w:rsid w:val="00F90A69"/>
    <w:rsid w:val="00FA0540"/>
    <w:rsid w:val="00FA7030"/>
    <w:rsid w:val="00FB013B"/>
    <w:rsid w:val="00FC3D18"/>
    <w:rsid w:val="00FC5962"/>
    <w:rsid w:val="00FC740F"/>
    <w:rsid w:val="00FD0840"/>
    <w:rsid w:val="00FD3F99"/>
    <w:rsid w:val="00FD65B9"/>
    <w:rsid w:val="00FD7E1B"/>
    <w:rsid w:val="00FE63A3"/>
    <w:rsid w:val="00FF099F"/>
    <w:rsid w:val="00FF5B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1E9E9"/>
  <w15:docId w15:val="{C6732CDC-7C91-47EB-AE59-5EEC882C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3C"/>
  </w:style>
  <w:style w:type="paragraph" w:styleId="Heading1">
    <w:name w:val="heading 1"/>
    <w:basedOn w:val="Normal"/>
    <w:next w:val="Normal"/>
    <w:link w:val="Heading1Char"/>
    <w:uiPriority w:val="9"/>
    <w:qFormat/>
    <w:rsid w:val="00F34050"/>
    <w:pPr>
      <w:tabs>
        <w:tab w:val="left" w:pos="288"/>
      </w:tabs>
      <w:jc w:val="both"/>
      <w:outlineLvl w:val="0"/>
    </w:pPr>
    <w:rPr>
      <w:b/>
      <w:bCs/>
      <w:color w:val="222222"/>
      <w:sz w:val="24"/>
      <w:szCs w:val="24"/>
      <w:shd w:val="clear" w:color="auto" w:fill="FFFFFF"/>
    </w:rPr>
  </w:style>
  <w:style w:type="paragraph" w:styleId="Heading2">
    <w:name w:val="heading 2"/>
    <w:basedOn w:val="Normal"/>
    <w:next w:val="Normal"/>
    <w:link w:val="Heading2Char"/>
    <w:uiPriority w:val="9"/>
    <w:unhideWhenUsed/>
    <w:qFormat/>
    <w:rsid w:val="0094209B"/>
    <w:pPr>
      <w:tabs>
        <w:tab w:val="left" w:pos="288"/>
      </w:tabs>
      <w:jc w:val="both"/>
      <w:outlineLvl w:val="1"/>
    </w:pPr>
    <w:rPr>
      <w:b/>
      <w:bCs/>
      <w:iCs/>
      <w:color w:val="222222"/>
      <w:sz w:val="24"/>
      <w:szCs w:val="24"/>
      <w:shd w:val="clear" w:color="auto" w:fill="FFFFFF"/>
      <w:lang w:val="en-CA"/>
    </w:rPr>
  </w:style>
  <w:style w:type="paragraph" w:styleId="Heading3">
    <w:name w:val="heading 3"/>
    <w:basedOn w:val="Normal"/>
    <w:next w:val="Normal"/>
    <w:link w:val="Heading3Char"/>
    <w:uiPriority w:val="9"/>
    <w:unhideWhenUsed/>
    <w:qFormat/>
    <w:rsid w:val="007459F7"/>
    <w:pPr>
      <w:tabs>
        <w:tab w:val="left" w:pos="288"/>
      </w:tabs>
      <w:jc w:val="both"/>
      <w:outlineLvl w:val="2"/>
    </w:pPr>
    <w:rPr>
      <w:b/>
      <w:bCs/>
      <w:iCs/>
      <w:color w:val="222222"/>
      <w:sz w:val="24"/>
      <w:szCs w:val="24"/>
      <w:shd w:val="clear" w:color="auto" w:fill="FFFFFF"/>
      <w:lang w:val="en-CA"/>
    </w:rPr>
  </w:style>
  <w:style w:type="paragraph" w:styleId="Heading4">
    <w:name w:val="heading 4"/>
    <w:basedOn w:val="Normal"/>
    <w:next w:val="Normal"/>
    <w:link w:val="Heading4Char"/>
    <w:uiPriority w:val="9"/>
    <w:unhideWhenUsed/>
    <w:qFormat/>
    <w:pPr>
      <w:keepNext/>
      <w:keepLines/>
      <w:spacing w:before="200" w:line="276" w:lineRule="auto"/>
      <w:ind w:left="2160"/>
      <w:jc w:val="both"/>
      <w:outlineLvl w:val="3"/>
    </w:pPr>
    <w:rPr>
      <w:rFonts w:ascii="Cambria" w:eastAsia="Cambria" w:hAnsi="Cambria" w:cs="Cambria"/>
      <w:b/>
      <w:i/>
      <w:color w:val="4F81BD"/>
      <w:sz w:val="24"/>
      <w:szCs w:val="24"/>
    </w:rPr>
  </w:style>
  <w:style w:type="paragraph" w:styleId="Heading5">
    <w:name w:val="heading 5"/>
    <w:basedOn w:val="Normal"/>
    <w:next w:val="Normal"/>
    <w:link w:val="Heading5Char"/>
    <w:uiPriority w:val="9"/>
    <w:unhideWhenUsed/>
    <w:qFormat/>
    <w:pPr>
      <w:keepNext/>
      <w:keepLines/>
      <w:spacing w:before="200" w:line="276" w:lineRule="auto"/>
      <w:ind w:left="2880"/>
      <w:jc w:val="both"/>
      <w:outlineLvl w:val="4"/>
    </w:pPr>
    <w:rPr>
      <w:rFonts w:ascii="Cambria" w:eastAsia="Cambria" w:hAnsi="Cambria" w:cs="Cambria"/>
      <w:color w:val="243F60"/>
      <w:sz w:val="24"/>
      <w:szCs w:val="24"/>
    </w:rPr>
  </w:style>
  <w:style w:type="paragraph" w:styleId="Heading6">
    <w:name w:val="heading 6"/>
    <w:basedOn w:val="Normal"/>
    <w:next w:val="Normal"/>
    <w:link w:val="Heading6Char"/>
    <w:uiPriority w:val="9"/>
    <w:semiHidden/>
    <w:unhideWhenUsed/>
    <w:qFormat/>
    <w:pPr>
      <w:keepNext/>
      <w:keepLines/>
      <w:spacing w:before="200" w:line="276" w:lineRule="auto"/>
      <w:ind w:left="3600"/>
      <w:jc w:val="both"/>
      <w:outlineLvl w:val="5"/>
    </w:pPr>
    <w:rPr>
      <w:rFonts w:ascii="Cambria" w:eastAsia="Cambria" w:hAnsi="Cambria" w:cs="Cambria"/>
      <w:i/>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396F"/>
    <w:pPr>
      <w:tabs>
        <w:tab w:val="left" w:pos="288"/>
      </w:tabs>
      <w:jc w:val="both"/>
    </w:pPr>
    <w:rPr>
      <w:b/>
      <w:bCs/>
      <w:sz w:val="24"/>
      <w:szCs w:val="24"/>
      <w:shd w:val="clear" w:color="auto" w:fill="FFFFFF"/>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D65B9"/>
    <w:rPr>
      <w:sz w:val="18"/>
      <w:szCs w:val="18"/>
    </w:rPr>
  </w:style>
  <w:style w:type="character" w:customStyle="1" w:styleId="BalloonTextChar">
    <w:name w:val="Balloon Text Char"/>
    <w:basedOn w:val="DefaultParagraphFont"/>
    <w:link w:val="BalloonText"/>
    <w:uiPriority w:val="99"/>
    <w:semiHidden/>
    <w:rsid w:val="00FD65B9"/>
    <w:rPr>
      <w:sz w:val="18"/>
      <w:szCs w:val="18"/>
    </w:rPr>
  </w:style>
  <w:style w:type="paragraph" w:styleId="FootnoteText">
    <w:name w:val="footnote text"/>
    <w:basedOn w:val="Normal"/>
    <w:link w:val="FootnoteTextChar"/>
    <w:uiPriority w:val="99"/>
    <w:unhideWhenUsed/>
    <w:rsid w:val="00E10AE1"/>
  </w:style>
  <w:style w:type="character" w:customStyle="1" w:styleId="FootnoteTextChar">
    <w:name w:val="Footnote Text Char"/>
    <w:basedOn w:val="DefaultParagraphFont"/>
    <w:link w:val="FootnoteText"/>
    <w:uiPriority w:val="99"/>
    <w:rsid w:val="00E10AE1"/>
  </w:style>
  <w:style w:type="character" w:styleId="FootnoteReference">
    <w:name w:val="footnote reference"/>
    <w:basedOn w:val="DefaultParagraphFont"/>
    <w:uiPriority w:val="99"/>
    <w:semiHidden/>
    <w:unhideWhenUsed/>
    <w:rsid w:val="00E10AE1"/>
    <w:rPr>
      <w:vertAlign w:val="superscript"/>
    </w:rPr>
  </w:style>
  <w:style w:type="paragraph" w:styleId="Footer">
    <w:name w:val="footer"/>
    <w:basedOn w:val="Normal"/>
    <w:link w:val="FooterChar"/>
    <w:uiPriority w:val="99"/>
    <w:unhideWhenUsed/>
    <w:rsid w:val="00F136D4"/>
    <w:pPr>
      <w:tabs>
        <w:tab w:val="center" w:pos="4680"/>
        <w:tab w:val="right" w:pos="9360"/>
      </w:tabs>
    </w:pPr>
  </w:style>
  <w:style w:type="character" w:customStyle="1" w:styleId="FooterChar">
    <w:name w:val="Footer Char"/>
    <w:basedOn w:val="DefaultParagraphFont"/>
    <w:link w:val="Footer"/>
    <w:uiPriority w:val="99"/>
    <w:rsid w:val="00F136D4"/>
  </w:style>
  <w:style w:type="paragraph" w:styleId="Header">
    <w:name w:val="header"/>
    <w:basedOn w:val="Normal"/>
    <w:link w:val="HeaderChar"/>
    <w:uiPriority w:val="99"/>
    <w:unhideWhenUsed/>
    <w:rsid w:val="00F136D4"/>
    <w:pPr>
      <w:tabs>
        <w:tab w:val="center" w:pos="4680"/>
        <w:tab w:val="right" w:pos="9360"/>
      </w:tabs>
    </w:pPr>
  </w:style>
  <w:style w:type="character" w:customStyle="1" w:styleId="HeaderChar">
    <w:name w:val="Header Char"/>
    <w:basedOn w:val="DefaultParagraphFont"/>
    <w:link w:val="Header"/>
    <w:uiPriority w:val="99"/>
    <w:rsid w:val="00F136D4"/>
  </w:style>
  <w:style w:type="paragraph" w:styleId="NormalWeb">
    <w:name w:val="Normal (Web)"/>
    <w:basedOn w:val="Normal"/>
    <w:uiPriority w:val="99"/>
    <w:unhideWhenUsed/>
    <w:rsid w:val="007E22D5"/>
    <w:pPr>
      <w:spacing w:before="100" w:beforeAutospacing="1" w:after="100" w:afterAutospacing="1"/>
    </w:pPr>
    <w:rPr>
      <w:sz w:val="24"/>
      <w:szCs w:val="24"/>
      <w:lang w:val="en-CA" w:eastAsia="en-CA"/>
    </w:rPr>
  </w:style>
  <w:style w:type="paragraph" w:styleId="ListParagraph">
    <w:name w:val="List Paragraph"/>
    <w:basedOn w:val="Normal"/>
    <w:uiPriority w:val="34"/>
    <w:qFormat/>
    <w:rsid w:val="007E22D5"/>
    <w:pPr>
      <w:suppressAutoHyphens/>
      <w:spacing w:after="200" w:line="276" w:lineRule="auto"/>
      <w:ind w:left="720"/>
      <w:contextualSpacing/>
    </w:pPr>
    <w:rPr>
      <w:rFonts w:ascii="Calibri" w:eastAsia="Calibri" w:hAnsi="Calibri"/>
      <w:sz w:val="22"/>
      <w:szCs w:val="22"/>
      <w:lang w:val="en-CA" w:eastAsia="ar-SA"/>
    </w:rPr>
  </w:style>
  <w:style w:type="paragraph" w:styleId="BodyText2">
    <w:name w:val="Body Text 2"/>
    <w:basedOn w:val="Normal"/>
    <w:link w:val="BodyText2Char1"/>
    <w:rsid w:val="007E22D5"/>
    <w:pPr>
      <w:suppressAutoHyphens/>
      <w:spacing w:after="120" w:line="480" w:lineRule="auto"/>
    </w:pPr>
    <w:rPr>
      <w:rFonts w:ascii="Calibri" w:eastAsia="Calibri" w:hAnsi="Calibri"/>
      <w:lang w:val="x-none" w:eastAsia="ar-SA"/>
    </w:rPr>
  </w:style>
  <w:style w:type="character" w:customStyle="1" w:styleId="BodyText2Char">
    <w:name w:val="Body Text 2 Char"/>
    <w:basedOn w:val="DefaultParagraphFont"/>
    <w:uiPriority w:val="99"/>
    <w:semiHidden/>
    <w:rsid w:val="007E22D5"/>
  </w:style>
  <w:style w:type="character" w:customStyle="1" w:styleId="BodyText2Char1">
    <w:name w:val="Body Text 2 Char1"/>
    <w:link w:val="BodyText2"/>
    <w:rsid w:val="007E22D5"/>
    <w:rPr>
      <w:rFonts w:ascii="Calibri" w:eastAsia="Calibri" w:hAnsi="Calibri"/>
      <w:lang w:val="x-none" w:eastAsia="ar-SA"/>
    </w:rPr>
  </w:style>
  <w:style w:type="character" w:styleId="Hyperlink">
    <w:name w:val="Hyperlink"/>
    <w:basedOn w:val="DefaultParagraphFont"/>
    <w:uiPriority w:val="99"/>
    <w:unhideWhenUsed/>
    <w:rsid w:val="007E22D5"/>
    <w:rPr>
      <w:color w:val="0000FF" w:themeColor="hyperlink"/>
      <w:u w:val="single"/>
    </w:rPr>
  </w:style>
  <w:style w:type="paragraph" w:styleId="EndnoteText">
    <w:name w:val="endnote text"/>
    <w:basedOn w:val="Normal"/>
    <w:link w:val="EndnoteTextChar"/>
    <w:uiPriority w:val="99"/>
    <w:unhideWhenUsed/>
    <w:rsid w:val="00B67F7A"/>
    <w:rPr>
      <w:rFonts w:eastAsia="Calibri" w:cstheme="majorBidi"/>
      <w:bCs/>
      <w:iCs/>
      <w:lang w:val="en-CA" w:eastAsia="en-CA"/>
    </w:rPr>
  </w:style>
  <w:style w:type="character" w:customStyle="1" w:styleId="EndnoteTextChar">
    <w:name w:val="Endnote Text Char"/>
    <w:basedOn w:val="DefaultParagraphFont"/>
    <w:link w:val="EndnoteText"/>
    <w:uiPriority w:val="99"/>
    <w:rsid w:val="00B67F7A"/>
    <w:rPr>
      <w:rFonts w:eastAsia="Calibri" w:cstheme="majorBidi"/>
      <w:bCs/>
      <w:iCs/>
      <w:lang w:val="en-CA" w:eastAsia="en-CA"/>
    </w:rPr>
  </w:style>
  <w:style w:type="character" w:styleId="EndnoteReference">
    <w:name w:val="endnote reference"/>
    <w:basedOn w:val="DefaultParagraphFont"/>
    <w:uiPriority w:val="99"/>
    <w:unhideWhenUsed/>
    <w:rsid w:val="00B67F7A"/>
    <w:rPr>
      <w:vertAlign w:val="superscript"/>
    </w:rPr>
  </w:style>
  <w:style w:type="character" w:customStyle="1" w:styleId="Heading1Char">
    <w:name w:val="Heading 1 Char"/>
    <w:basedOn w:val="DefaultParagraphFont"/>
    <w:link w:val="Heading1"/>
    <w:uiPriority w:val="9"/>
    <w:rsid w:val="00F34050"/>
    <w:rPr>
      <w:b/>
      <w:bCs/>
      <w:color w:val="222222"/>
      <w:sz w:val="24"/>
      <w:szCs w:val="24"/>
    </w:rPr>
  </w:style>
  <w:style w:type="character" w:customStyle="1" w:styleId="Heading2Char">
    <w:name w:val="Heading 2 Char"/>
    <w:basedOn w:val="DefaultParagraphFont"/>
    <w:link w:val="Heading2"/>
    <w:uiPriority w:val="9"/>
    <w:rsid w:val="0094209B"/>
    <w:rPr>
      <w:b/>
      <w:bCs/>
      <w:iCs/>
      <w:color w:val="222222"/>
      <w:sz w:val="24"/>
      <w:szCs w:val="24"/>
      <w:lang w:val="en-CA"/>
    </w:rPr>
  </w:style>
  <w:style w:type="character" w:customStyle="1" w:styleId="Heading3Char">
    <w:name w:val="Heading 3 Char"/>
    <w:basedOn w:val="DefaultParagraphFont"/>
    <w:link w:val="Heading3"/>
    <w:uiPriority w:val="9"/>
    <w:rsid w:val="007459F7"/>
    <w:rPr>
      <w:b/>
      <w:bCs/>
      <w:iCs/>
      <w:color w:val="222222"/>
      <w:sz w:val="24"/>
      <w:szCs w:val="24"/>
      <w:lang w:val="en-CA"/>
    </w:rPr>
  </w:style>
  <w:style w:type="character" w:customStyle="1" w:styleId="Heading4Char">
    <w:name w:val="Heading 4 Char"/>
    <w:basedOn w:val="DefaultParagraphFont"/>
    <w:link w:val="Heading4"/>
    <w:uiPriority w:val="9"/>
    <w:rsid w:val="00B67F7A"/>
    <w:rPr>
      <w:rFonts w:ascii="Cambria" w:eastAsia="Cambria" w:hAnsi="Cambria" w:cs="Cambria"/>
      <w:b/>
      <w:i/>
      <w:color w:val="4F81BD"/>
      <w:sz w:val="24"/>
      <w:szCs w:val="24"/>
    </w:rPr>
  </w:style>
  <w:style w:type="character" w:customStyle="1" w:styleId="Heading5Char">
    <w:name w:val="Heading 5 Char"/>
    <w:basedOn w:val="DefaultParagraphFont"/>
    <w:link w:val="Heading5"/>
    <w:uiPriority w:val="9"/>
    <w:rsid w:val="00B67F7A"/>
    <w:rPr>
      <w:rFonts w:ascii="Cambria" w:eastAsia="Cambria" w:hAnsi="Cambria" w:cs="Cambria"/>
      <w:color w:val="243F60"/>
      <w:sz w:val="24"/>
      <w:szCs w:val="24"/>
    </w:rPr>
  </w:style>
  <w:style w:type="character" w:styleId="CommentReference">
    <w:name w:val="annotation reference"/>
    <w:basedOn w:val="DefaultParagraphFont"/>
    <w:uiPriority w:val="99"/>
    <w:semiHidden/>
    <w:unhideWhenUsed/>
    <w:rsid w:val="00B67F7A"/>
    <w:rPr>
      <w:sz w:val="16"/>
      <w:szCs w:val="16"/>
    </w:rPr>
  </w:style>
  <w:style w:type="paragraph" w:styleId="CommentText">
    <w:name w:val="annotation text"/>
    <w:basedOn w:val="Normal"/>
    <w:link w:val="CommentTextChar"/>
    <w:uiPriority w:val="99"/>
    <w:unhideWhenUsed/>
    <w:rsid w:val="00B67F7A"/>
    <w:rPr>
      <w:rFonts w:ascii="Calibri" w:eastAsia="Calibri" w:hAnsi="Calibri" w:cstheme="majorBidi"/>
      <w:lang w:val="en-CA" w:eastAsia="en-CA"/>
    </w:rPr>
  </w:style>
  <w:style w:type="character" w:customStyle="1" w:styleId="CommentTextChar">
    <w:name w:val="Comment Text Char"/>
    <w:basedOn w:val="DefaultParagraphFont"/>
    <w:link w:val="CommentText"/>
    <w:uiPriority w:val="99"/>
    <w:rsid w:val="00B67F7A"/>
    <w:rPr>
      <w:rFonts w:ascii="Calibri" w:eastAsia="Calibri" w:hAnsi="Calibri" w:cstheme="majorBidi"/>
      <w:lang w:val="en-CA" w:eastAsia="en-CA"/>
    </w:rPr>
  </w:style>
  <w:style w:type="paragraph" w:styleId="CommentSubject">
    <w:name w:val="annotation subject"/>
    <w:basedOn w:val="CommentText"/>
    <w:next w:val="CommentText"/>
    <w:link w:val="CommentSubjectChar"/>
    <w:uiPriority w:val="99"/>
    <w:semiHidden/>
    <w:unhideWhenUsed/>
    <w:rsid w:val="00B67F7A"/>
    <w:rPr>
      <w:b/>
      <w:bCs/>
    </w:rPr>
  </w:style>
  <w:style w:type="character" w:customStyle="1" w:styleId="CommentSubjectChar">
    <w:name w:val="Comment Subject Char"/>
    <w:basedOn w:val="CommentTextChar"/>
    <w:link w:val="CommentSubject"/>
    <w:uiPriority w:val="99"/>
    <w:semiHidden/>
    <w:rsid w:val="00B67F7A"/>
    <w:rPr>
      <w:rFonts w:ascii="Calibri" w:eastAsia="Calibri" w:hAnsi="Calibri" w:cstheme="majorBidi"/>
      <w:b/>
      <w:bCs/>
      <w:lang w:val="en-CA" w:eastAsia="en-CA"/>
    </w:rPr>
  </w:style>
  <w:style w:type="paragraph" w:styleId="ListBullet">
    <w:name w:val="List Bullet"/>
    <w:basedOn w:val="Normal"/>
    <w:uiPriority w:val="99"/>
    <w:unhideWhenUsed/>
    <w:rsid w:val="00B67F7A"/>
    <w:pPr>
      <w:numPr>
        <w:numId w:val="2"/>
      </w:numPr>
      <w:spacing w:line="276" w:lineRule="auto"/>
      <w:contextualSpacing/>
    </w:pPr>
    <w:rPr>
      <w:rFonts w:ascii="Calibri" w:eastAsia="Calibri" w:hAnsi="Calibri" w:cstheme="majorBidi"/>
      <w:sz w:val="24"/>
      <w:szCs w:val="32"/>
      <w:lang w:val="en-CA" w:eastAsia="en-CA"/>
    </w:rPr>
  </w:style>
  <w:style w:type="character" w:styleId="UnresolvedMention">
    <w:name w:val="Unresolved Mention"/>
    <w:uiPriority w:val="99"/>
    <w:semiHidden/>
    <w:unhideWhenUsed/>
    <w:rsid w:val="00B67F7A"/>
    <w:rPr>
      <w:color w:val="605E5C"/>
      <w:shd w:val="clear" w:color="auto" w:fill="E1DFDD"/>
    </w:rPr>
  </w:style>
  <w:style w:type="paragraph" w:styleId="NoSpacing">
    <w:name w:val="No Spacing"/>
    <w:uiPriority w:val="1"/>
    <w:qFormat/>
    <w:rsid w:val="00B67F7A"/>
    <w:rPr>
      <w:rFonts w:ascii="Calibri" w:eastAsia="Calibri" w:hAnsi="Calibri" w:cstheme="majorBidi"/>
      <w:sz w:val="24"/>
      <w:szCs w:val="32"/>
      <w:lang w:val="en-CA" w:eastAsia="en-CA"/>
    </w:rPr>
  </w:style>
  <w:style w:type="paragraph" w:styleId="PlainText">
    <w:name w:val="Plain Text"/>
    <w:basedOn w:val="Normal"/>
    <w:link w:val="PlainTextChar"/>
    <w:semiHidden/>
    <w:rsid w:val="00B67F7A"/>
    <w:rPr>
      <w:rFonts w:ascii="Courier New" w:hAnsi="Courier New"/>
      <w:lang w:eastAsia="en-CA"/>
    </w:rPr>
  </w:style>
  <w:style w:type="character" w:customStyle="1" w:styleId="PlainTextChar">
    <w:name w:val="Plain Text Char"/>
    <w:basedOn w:val="DefaultParagraphFont"/>
    <w:link w:val="PlainText"/>
    <w:semiHidden/>
    <w:rsid w:val="00B67F7A"/>
    <w:rPr>
      <w:rFonts w:ascii="Courier New" w:hAnsi="Courier New"/>
      <w:lang w:eastAsia="en-CA"/>
    </w:rPr>
  </w:style>
  <w:style w:type="paragraph" w:styleId="TOC2">
    <w:name w:val="toc 2"/>
    <w:basedOn w:val="Normal"/>
    <w:next w:val="Normal"/>
    <w:autoRedefine/>
    <w:uiPriority w:val="39"/>
    <w:unhideWhenUsed/>
    <w:rsid w:val="00B67F7A"/>
    <w:pPr>
      <w:spacing w:after="100" w:line="259" w:lineRule="auto"/>
      <w:ind w:left="220"/>
    </w:pPr>
    <w:rPr>
      <w:rFonts w:ascii="Calibri" w:eastAsia="Calibri" w:hAnsi="Calibri" w:cs="Calibri"/>
      <w:sz w:val="22"/>
      <w:szCs w:val="22"/>
      <w:lang w:val="en-CA" w:eastAsia="en-CA"/>
    </w:rPr>
  </w:style>
  <w:style w:type="paragraph" w:styleId="TOC3">
    <w:name w:val="toc 3"/>
    <w:basedOn w:val="Normal"/>
    <w:next w:val="Normal"/>
    <w:autoRedefine/>
    <w:uiPriority w:val="39"/>
    <w:unhideWhenUsed/>
    <w:rsid w:val="00B67F7A"/>
    <w:pPr>
      <w:tabs>
        <w:tab w:val="right" w:leader="dot" w:pos="8900"/>
      </w:tabs>
      <w:spacing w:after="100" w:line="259" w:lineRule="auto"/>
      <w:ind w:left="440"/>
    </w:pPr>
    <w:rPr>
      <w:rFonts w:ascii="Calibri" w:eastAsia="Calibri" w:hAnsi="Calibri" w:cs="Calibri"/>
      <w:sz w:val="22"/>
      <w:szCs w:val="22"/>
      <w:lang w:val="en-CA" w:eastAsia="en-CA"/>
    </w:rPr>
  </w:style>
  <w:style w:type="paragraph" w:styleId="TOC1">
    <w:name w:val="toc 1"/>
    <w:basedOn w:val="Normal"/>
    <w:next w:val="Normal"/>
    <w:autoRedefine/>
    <w:uiPriority w:val="39"/>
    <w:unhideWhenUsed/>
    <w:rsid w:val="00B67F7A"/>
    <w:pPr>
      <w:spacing w:after="100" w:line="259" w:lineRule="auto"/>
    </w:pPr>
    <w:rPr>
      <w:rFonts w:ascii="Calibri" w:eastAsiaTheme="minorEastAsia" w:hAnsi="Calibri" w:cs="Calibri"/>
      <w:sz w:val="22"/>
      <w:szCs w:val="22"/>
      <w:lang w:val="en-CA" w:eastAsia="en-CA"/>
    </w:rPr>
  </w:style>
  <w:style w:type="paragraph" w:styleId="TOC4">
    <w:name w:val="toc 4"/>
    <w:basedOn w:val="Normal"/>
    <w:next w:val="Normal"/>
    <w:autoRedefine/>
    <w:uiPriority w:val="39"/>
    <w:unhideWhenUsed/>
    <w:rsid w:val="00B67F7A"/>
    <w:pPr>
      <w:spacing w:after="100" w:line="259" w:lineRule="auto"/>
      <w:ind w:left="660"/>
    </w:pPr>
    <w:rPr>
      <w:rFonts w:ascii="Calibri" w:eastAsiaTheme="minorEastAsia" w:hAnsi="Calibri" w:cs="Calibri"/>
      <w:sz w:val="22"/>
      <w:szCs w:val="22"/>
      <w:lang w:val="en-CA" w:eastAsia="en-CA"/>
    </w:rPr>
  </w:style>
  <w:style w:type="paragraph" w:styleId="TOC5">
    <w:name w:val="toc 5"/>
    <w:basedOn w:val="Normal"/>
    <w:next w:val="Normal"/>
    <w:autoRedefine/>
    <w:uiPriority w:val="39"/>
    <w:unhideWhenUsed/>
    <w:rsid w:val="00B67F7A"/>
    <w:pPr>
      <w:spacing w:after="100" w:line="259" w:lineRule="auto"/>
      <w:ind w:left="880"/>
    </w:pPr>
    <w:rPr>
      <w:rFonts w:ascii="Calibri" w:eastAsiaTheme="minorEastAsia" w:hAnsi="Calibri" w:cs="Calibri"/>
      <w:sz w:val="22"/>
      <w:szCs w:val="22"/>
      <w:lang w:val="en-CA" w:eastAsia="en-CA"/>
    </w:rPr>
  </w:style>
  <w:style w:type="paragraph" w:styleId="TOC6">
    <w:name w:val="toc 6"/>
    <w:basedOn w:val="Normal"/>
    <w:next w:val="Normal"/>
    <w:autoRedefine/>
    <w:uiPriority w:val="39"/>
    <w:unhideWhenUsed/>
    <w:rsid w:val="00B67F7A"/>
    <w:pPr>
      <w:spacing w:after="100" w:line="259" w:lineRule="auto"/>
      <w:ind w:left="1100"/>
    </w:pPr>
    <w:rPr>
      <w:rFonts w:ascii="Calibri" w:eastAsiaTheme="minorEastAsia" w:hAnsi="Calibri" w:cs="Calibri"/>
      <w:sz w:val="22"/>
      <w:szCs w:val="22"/>
      <w:lang w:val="en-CA" w:eastAsia="en-CA"/>
    </w:rPr>
  </w:style>
  <w:style w:type="paragraph" w:styleId="TOC7">
    <w:name w:val="toc 7"/>
    <w:basedOn w:val="Normal"/>
    <w:next w:val="Normal"/>
    <w:autoRedefine/>
    <w:uiPriority w:val="39"/>
    <w:unhideWhenUsed/>
    <w:rsid w:val="00B67F7A"/>
    <w:pPr>
      <w:spacing w:after="100" w:line="259" w:lineRule="auto"/>
      <w:ind w:left="1320"/>
    </w:pPr>
    <w:rPr>
      <w:rFonts w:ascii="Calibri" w:eastAsiaTheme="minorEastAsia" w:hAnsi="Calibri" w:cs="Calibri"/>
      <w:sz w:val="22"/>
      <w:szCs w:val="22"/>
      <w:lang w:val="en-CA" w:eastAsia="en-CA"/>
    </w:rPr>
  </w:style>
  <w:style w:type="paragraph" w:styleId="TOC8">
    <w:name w:val="toc 8"/>
    <w:basedOn w:val="Normal"/>
    <w:next w:val="Normal"/>
    <w:autoRedefine/>
    <w:uiPriority w:val="39"/>
    <w:unhideWhenUsed/>
    <w:rsid w:val="00B67F7A"/>
    <w:pPr>
      <w:spacing w:after="100" w:line="259" w:lineRule="auto"/>
      <w:ind w:left="1540"/>
    </w:pPr>
    <w:rPr>
      <w:rFonts w:ascii="Calibri" w:eastAsiaTheme="minorEastAsia" w:hAnsi="Calibri" w:cs="Calibri"/>
      <w:sz w:val="22"/>
      <w:szCs w:val="22"/>
      <w:lang w:val="en-CA" w:eastAsia="en-CA"/>
    </w:rPr>
  </w:style>
  <w:style w:type="paragraph" w:styleId="TOC9">
    <w:name w:val="toc 9"/>
    <w:basedOn w:val="Normal"/>
    <w:next w:val="Normal"/>
    <w:autoRedefine/>
    <w:uiPriority w:val="39"/>
    <w:unhideWhenUsed/>
    <w:rsid w:val="00B67F7A"/>
    <w:pPr>
      <w:spacing w:after="100" w:line="259" w:lineRule="auto"/>
      <w:ind w:left="1760"/>
    </w:pPr>
    <w:rPr>
      <w:rFonts w:ascii="Calibri" w:eastAsiaTheme="minorEastAsia" w:hAnsi="Calibri" w:cs="Calibri"/>
      <w:sz w:val="22"/>
      <w:szCs w:val="22"/>
      <w:lang w:val="en-CA" w:eastAsia="en-CA"/>
    </w:rPr>
  </w:style>
  <w:style w:type="paragraph" w:styleId="TOCHeading">
    <w:name w:val="TOC Heading"/>
    <w:basedOn w:val="Heading1"/>
    <w:next w:val="Normal"/>
    <w:uiPriority w:val="39"/>
    <w:unhideWhenUsed/>
    <w:qFormat/>
    <w:rsid w:val="00B67F7A"/>
    <w:pPr>
      <w:spacing w:before="240" w:line="259" w:lineRule="auto"/>
      <w:outlineLvl w:val="9"/>
    </w:pPr>
    <w:rPr>
      <w:rFonts w:asciiTheme="majorHAnsi" w:eastAsiaTheme="majorEastAsia" w:hAnsiTheme="majorHAnsi" w:cstheme="majorBidi"/>
      <w:b w:val="0"/>
      <w:color w:val="365F91" w:themeColor="accent1" w:themeShade="BF"/>
      <w:sz w:val="32"/>
      <w:szCs w:val="32"/>
      <w:lang w:eastAsia="en-CA"/>
    </w:rPr>
  </w:style>
  <w:style w:type="character" w:styleId="FollowedHyperlink">
    <w:name w:val="FollowedHyperlink"/>
    <w:basedOn w:val="DefaultParagraphFont"/>
    <w:uiPriority w:val="99"/>
    <w:semiHidden/>
    <w:unhideWhenUsed/>
    <w:rsid w:val="00B67F7A"/>
    <w:rPr>
      <w:color w:val="800080" w:themeColor="followedHyperlink"/>
      <w:u w:val="single"/>
    </w:rPr>
  </w:style>
  <w:style w:type="character" w:styleId="Emphasis">
    <w:name w:val="Emphasis"/>
    <w:basedOn w:val="DefaultParagraphFont"/>
    <w:uiPriority w:val="20"/>
    <w:qFormat/>
    <w:rsid w:val="00B67F7A"/>
    <w:rPr>
      <w:i/>
      <w:iCs/>
    </w:rPr>
  </w:style>
  <w:style w:type="character" w:customStyle="1" w:styleId="Heading6Char">
    <w:name w:val="Heading 6 Char"/>
    <w:basedOn w:val="DefaultParagraphFont"/>
    <w:link w:val="Heading6"/>
    <w:uiPriority w:val="9"/>
    <w:semiHidden/>
    <w:rsid w:val="00B67F7A"/>
    <w:rPr>
      <w:rFonts w:ascii="Cambria" w:eastAsia="Cambria" w:hAnsi="Cambria" w:cs="Cambria"/>
      <w:i/>
      <w:color w:val="243F60"/>
      <w:sz w:val="24"/>
      <w:szCs w:val="24"/>
    </w:rPr>
  </w:style>
  <w:style w:type="character" w:customStyle="1" w:styleId="TitleChar">
    <w:name w:val="Title Char"/>
    <w:basedOn w:val="DefaultParagraphFont"/>
    <w:link w:val="Title"/>
    <w:uiPriority w:val="10"/>
    <w:rsid w:val="001C396F"/>
    <w:rPr>
      <w:b/>
      <w:bCs/>
      <w:sz w:val="24"/>
      <w:szCs w:val="24"/>
    </w:rPr>
  </w:style>
  <w:style w:type="character" w:customStyle="1" w:styleId="SubtitleChar">
    <w:name w:val="Subtitle Char"/>
    <w:basedOn w:val="DefaultParagraphFont"/>
    <w:link w:val="Subtitle"/>
    <w:uiPriority w:val="11"/>
    <w:rsid w:val="00B67F7A"/>
    <w:rPr>
      <w:rFonts w:ascii="Georgia" w:eastAsia="Georgia" w:hAnsi="Georgia" w:cs="Georgia"/>
      <w:i/>
      <w:color w:val="666666"/>
      <w:sz w:val="48"/>
      <w:szCs w:val="48"/>
    </w:rPr>
  </w:style>
  <w:style w:type="paragraph" w:styleId="Revision">
    <w:name w:val="Revision"/>
    <w:hidden/>
    <w:uiPriority w:val="99"/>
    <w:semiHidden/>
    <w:rsid w:val="00B67F7A"/>
    <w:rPr>
      <w:rFonts w:ascii="Calibri" w:eastAsia="Calibri" w:hAnsi="Calibri" w:cs="Calibri"/>
      <w:sz w:val="22"/>
      <w:szCs w:val="22"/>
      <w:lang w:val="en-CA" w:eastAsia="en-CA"/>
    </w:rPr>
  </w:style>
  <w:style w:type="paragraph" w:customStyle="1" w:styleId="Heading3A">
    <w:name w:val="Heading 3A"/>
    <w:basedOn w:val="Normal"/>
    <w:qFormat/>
    <w:rsid w:val="00177613"/>
    <w:pPr>
      <w:tabs>
        <w:tab w:val="left" w:pos="288"/>
      </w:tabs>
      <w:jc w:val="both"/>
    </w:pPr>
    <w:rPr>
      <w:b/>
      <w:bCs/>
      <w:i/>
      <w:iCs/>
      <w:sz w:val="24"/>
      <w:szCs w:val="24"/>
      <w:shd w:val="clear" w:color="auto" w:fill="FFFFFF"/>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Custom%20Office%20Templates\8-Lepofsky-NoTextBoxesKM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cfbed7-d1b4-4403-8fe0-a896e0a3f1b5">
      <Terms xmlns="http://schemas.microsoft.com/office/infopath/2007/PartnerControls"/>
    </lcf76f155ced4ddcb4097134ff3c332f>
    <TaxCatchAll xmlns="1164aa20-92ca-4a21-8204-b0e49551bed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F3C0817369BD4C94EB82B3528FE87E" ma:contentTypeVersion="17" ma:contentTypeDescription="Create a new document." ma:contentTypeScope="" ma:versionID="13cae0ce28fa52380b718113651be1d7">
  <xsd:schema xmlns:xsd="http://www.w3.org/2001/XMLSchema" xmlns:xs="http://www.w3.org/2001/XMLSchema" xmlns:p="http://schemas.microsoft.com/office/2006/metadata/properties" xmlns:ns2="2acfbed7-d1b4-4403-8fe0-a896e0a3f1b5" xmlns:ns3="1164aa20-92ca-4a21-8204-b0e49551bede" targetNamespace="http://schemas.microsoft.com/office/2006/metadata/properties" ma:root="true" ma:fieldsID="d97fc37312cd10f9dcaac2bb87f430a6" ns2:_="" ns3:_="">
    <xsd:import namespace="2acfbed7-d1b4-4403-8fe0-a896e0a3f1b5"/>
    <xsd:import namespace="1164aa20-92ca-4a21-8204-b0e49551bed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fbed7-d1b4-4403-8fe0-a896e0a3f1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bee80c-1694-4361-82b6-5997d1554ef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64aa20-92ca-4a21-8204-b0e49551bed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e35c9f9-7c58-44f3-af63-a60a7a1038d1}" ma:internalName="TaxCatchAll" ma:showField="CatchAllData" ma:web="1164aa20-92ca-4a21-8204-b0e49551be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F3EBA-3FCC-443B-80D2-870F8F86D8EC}">
  <ds:schemaRefs>
    <ds:schemaRef ds:uri="http://schemas.microsoft.com/sharepoint/v3/contenttype/forms"/>
  </ds:schemaRefs>
</ds:datastoreItem>
</file>

<file path=customXml/itemProps2.xml><?xml version="1.0" encoding="utf-8"?>
<ds:datastoreItem xmlns:ds="http://schemas.openxmlformats.org/officeDocument/2006/customXml" ds:itemID="{579EB254-6A50-430B-9556-773168DD0FD4}">
  <ds:schemaRefs>
    <ds:schemaRef ds:uri="http://schemas.microsoft.com/office/2006/metadata/properties"/>
    <ds:schemaRef ds:uri="http://schemas.microsoft.com/office/infopath/2007/PartnerControls"/>
    <ds:schemaRef ds:uri="2acfbed7-d1b4-4403-8fe0-a896e0a3f1b5"/>
    <ds:schemaRef ds:uri="1164aa20-92ca-4a21-8204-b0e49551bede"/>
  </ds:schemaRefs>
</ds:datastoreItem>
</file>

<file path=customXml/itemProps3.xml><?xml version="1.0" encoding="utf-8"?>
<ds:datastoreItem xmlns:ds="http://schemas.openxmlformats.org/officeDocument/2006/customXml" ds:itemID="{91578E02-8369-4544-980D-627150205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fbed7-d1b4-4403-8fe0-a896e0a3f1b5"/>
    <ds:schemaRef ds:uri="1164aa20-92ca-4a21-8204-b0e49551b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B144EE-8412-43AB-99B3-5755A62F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D:\Documents\Custom Office Templates\8-Lepofsky-NoTextBoxesKM01.dotx</Template>
  <TotalTime>10</TotalTime>
  <Pages>21</Pages>
  <Words>8314</Words>
  <Characters>50801</Characters>
  <Application>Microsoft Office Word</Application>
  <DocSecurity>0</DocSecurity>
  <Lines>819</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McCall</dc:creator>
  <cp:keywords/>
  <cp:lastModifiedBy>Sydney Sloane</cp:lastModifiedBy>
  <cp:revision>4</cp:revision>
  <cp:lastPrinted>2024-09-21T12:17:00Z</cp:lastPrinted>
  <dcterms:created xsi:type="dcterms:W3CDTF">2024-09-21T12:13:00Z</dcterms:created>
  <dcterms:modified xsi:type="dcterms:W3CDTF">2026-05-05T20:09:00Z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0x0101007CF3C0817369BD4C94EB82B3528FE87E</vt:lpwstr>
  </property>
  <property fmtid="{D5CDD505-2E9C-101B-9397-08002B2CF9AE}" pid="3" name="MediaServiceImageTags">
    <vt:lpwstr/>
  </property>
  <property fmtid="{D5CDD505-2E9C-101B-9397-08002B2CF9AE}" pid="4" name="GrammarlyDocumentId">
    <vt:lpwstr>7025d6e241ef365b6415a974071d475e7d4b9fdc1a68fd4c95b7cbb83c0231d8</vt:lpwstr>
  </property>
</Properties>
</file>